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1A0" w14:textId="7FC8C9BB" w:rsidR="00C64FCC" w:rsidRPr="00B751B2" w:rsidRDefault="009E7BCC" w:rsidP="00C64FCC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63316990"/>
      <w:r>
        <w:rPr>
          <w:rFonts w:ascii="Times New Roman" w:hAnsi="Times New Roman" w:cs="Times New Roman"/>
          <w:b/>
          <w:bCs/>
          <w:sz w:val="20"/>
          <w:szCs w:val="20"/>
        </w:rPr>
        <w:t xml:space="preserve">S1 </w:t>
      </w:r>
      <w:r w:rsidR="00D96935"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="00D96935" w:rsidRPr="00B751B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1" w:name="OLE_LINK2"/>
      <w:r w:rsidR="00BB03B1" w:rsidRPr="00B751B2">
        <w:rPr>
          <w:rFonts w:ascii="Times New Roman" w:hAnsi="Times New Roman" w:cs="Times New Roman"/>
          <w:b/>
          <w:bCs/>
          <w:sz w:val="20"/>
          <w:szCs w:val="20"/>
        </w:rPr>
        <w:t>American College of Obstetricians and Gynecologists (</w:t>
      </w:r>
      <w:r w:rsidR="00682CF4" w:rsidRPr="00B751B2">
        <w:rPr>
          <w:rFonts w:ascii="Times New Roman" w:hAnsi="Times New Roman" w:cs="Times New Roman"/>
          <w:b/>
          <w:bCs/>
          <w:sz w:val="20"/>
          <w:szCs w:val="20"/>
        </w:rPr>
        <w:t>ACOG</w:t>
      </w:r>
      <w:r w:rsidR="00BB03B1" w:rsidRPr="00B751B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682CF4" w:rsidRPr="00B751B2">
        <w:rPr>
          <w:rFonts w:ascii="Times New Roman" w:hAnsi="Times New Roman" w:cs="Times New Roman"/>
          <w:b/>
          <w:bCs/>
          <w:sz w:val="20"/>
          <w:szCs w:val="20"/>
        </w:rPr>
        <w:t xml:space="preserve"> classification of hypertensive disorders in pregnancy</w:t>
      </w:r>
      <w:r w:rsidR="00BB03B1" w:rsidRPr="00B751B2">
        <w:rPr>
          <w:rFonts w:ascii="Times New Roman" w:hAnsi="Times New Roman" w:cs="Times New Roman"/>
          <w:b/>
          <w:bCs/>
          <w:sz w:val="20"/>
          <w:szCs w:val="20"/>
        </w:rPr>
        <w:t xml:space="preserve"> (HDP)</w:t>
      </w:r>
      <w:r w:rsidR="00805C36"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</w:p>
    <w:p w14:paraId="08F2D4E2" w14:textId="5F05C3AF" w:rsidR="00682CF4" w:rsidRPr="00B751B2" w:rsidRDefault="00682CF4" w:rsidP="000753F7">
      <w:pP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bookmarkStart w:id="2" w:name="OLE_LINK1"/>
      <w:bookmarkEnd w:id="0"/>
      <w:bookmarkEnd w:id="1"/>
    </w:p>
    <w:tbl>
      <w:tblPr>
        <w:tblStyle w:val="TableGrid"/>
        <w:tblpPr w:leftFromText="180" w:rightFromText="180" w:vertAnchor="text" w:horzAnchor="margin" w:tblpY="183"/>
        <w:tblW w:w="14470" w:type="dxa"/>
        <w:tblLook w:val="04A0" w:firstRow="1" w:lastRow="0" w:firstColumn="1" w:lastColumn="0" w:noHBand="0" w:noVBand="1"/>
      </w:tblPr>
      <w:tblGrid>
        <w:gridCol w:w="2421"/>
        <w:gridCol w:w="6804"/>
        <w:gridCol w:w="1695"/>
        <w:gridCol w:w="3550"/>
      </w:tblGrid>
      <w:tr w:rsidR="00B751B2" w:rsidRPr="00B751B2" w14:paraId="772C0AD7" w14:textId="77777777" w:rsidTr="00E97863">
        <w:tc>
          <w:tcPr>
            <w:tcW w:w="2421" w:type="dxa"/>
          </w:tcPr>
          <w:p w14:paraId="7306A63E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Terminologies</w:t>
            </w:r>
          </w:p>
        </w:tc>
        <w:tc>
          <w:tcPr>
            <w:tcW w:w="6804" w:type="dxa"/>
          </w:tcPr>
          <w:p w14:paraId="61247B81" w14:textId="4D716CDF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Definitions</w:t>
            </w:r>
          </w:p>
        </w:tc>
        <w:tc>
          <w:tcPr>
            <w:tcW w:w="1695" w:type="dxa"/>
          </w:tcPr>
          <w:p w14:paraId="4FA2DBC1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Prevalence, %</w:t>
            </w:r>
          </w:p>
        </w:tc>
        <w:tc>
          <w:tcPr>
            <w:tcW w:w="3550" w:type="dxa"/>
          </w:tcPr>
          <w:p w14:paraId="35D5576D" w14:textId="1525A4B8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Placental vascular involvement with multisystem dysfunction</w:t>
            </w:r>
          </w:p>
          <w:p w14:paraId="5487C20B" w14:textId="304FEFFF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{"citationID":"Ud6SJUqh","properties":{"formattedCitation":"(Braunthal &amp; Brateanu, 2019)","plainCitation":"(Braunthal &amp; Brateanu, 2019)","noteIndex":0},"citationItems":[{"id":148,"uris":["http://zotero.org/users/5033310/items/I28AN5I9"],"itemData":{"id":148,"type":"article-journal","abstract":"Hypertensive disorders of pregnancy, an umbrella term that includes preexisting and gestational hypertension, preeclampsia, and eclampsia, complicate up to 10% of pregnancies and represent a significant cause of maternal and perinatal morbidity and mortality. Despite the differences in guidelines, there appears to be consensus that severe hypertension and non-severe hypertension with evidence of end-organ damage need to be controlled; yet the ideal target ranges below 160/110 mmHg remain a source of debate. This review outlines the definition, pathophysiology, goals of therapy, and treatment agents used in hypertensive disorders of pregnancy.","container-title":"SAGE Open Medicine","DOI":"10.1177/2050312119843700","ISSN":"2050-3121, 2050-3121","journalAbbreviation":"SAGE Open Medicine","language":"en","page":"205031211984370","source":"DOI.org (Crossref)","title":"Hypertension in pregnancy: Pathophysiology and treatment","title-short":"Hypertension in pregnancy","URL":"http://journals.sagepub.com/doi/10.1177/2050312119843700","volume":"7","author":[{"family":"Braunthal","given":"Stephanie"},{"family":"Brateanu","given":"Andrei"}],"accessed":{"date-parts":[["2022",10,31]]},"issued":{"date-parts":[["2019",1]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Braunthal</w:t>
            </w:r>
            <w:proofErr w:type="spellEnd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Brateanu</w:t>
            </w:r>
            <w:proofErr w:type="spellEnd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51B2" w:rsidRPr="00B751B2" w14:paraId="463F75FA" w14:textId="77777777" w:rsidTr="00E97863">
        <w:tc>
          <w:tcPr>
            <w:tcW w:w="2421" w:type="dxa"/>
          </w:tcPr>
          <w:p w14:paraId="6FA8DB0E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Gestational hypertension (GH)</w:t>
            </w:r>
          </w:p>
        </w:tc>
        <w:tc>
          <w:tcPr>
            <w:tcW w:w="6804" w:type="dxa"/>
          </w:tcPr>
          <w:p w14:paraId="3BE89927" w14:textId="0F5C1202" w:rsidR="00E97863" w:rsidRPr="00B751B2" w:rsidRDefault="0088468D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SBP</w:t>
            </w:r>
            <w:r w:rsidR="00E97863"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E97863"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140 mmHg or a DBP </w:t>
            </w:r>
            <w:r w:rsidR="00E97863"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E97863" w:rsidRPr="00B751B2">
              <w:rPr>
                <w:rFonts w:ascii="Times New Roman" w:hAnsi="Times New Roman" w:cs="Times New Roman"/>
                <w:sz w:val="20"/>
                <w:szCs w:val="20"/>
              </w:rPr>
              <w:t>90 mmHg, or both, on 2 occasions at least 4 hours apart after 20 weeks of gestation in a previously normotensive woman</w:t>
            </w:r>
          </w:p>
        </w:tc>
        <w:tc>
          <w:tcPr>
            <w:tcW w:w="1695" w:type="dxa"/>
          </w:tcPr>
          <w:p w14:paraId="65484AC0" w14:textId="06A04560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5-10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{"citationID":"8CVenqkr","properties":{"formattedCitation":"(M. Shen et al., 2017)","plainCitation":"(M. Shen et al., 2017)","noteIndex":0},"citationItems":[{"id":86,"uris":["http://zotero.org/users/5033310/items/DWE4PCYM"],"itemData":{"id":86,"type":"article-journal","container-title":"PLOS ONE","DOI":"10.1371/journal.pone.0175914","ISSN":"1932-6203","issue":"4","journalAbbreviation":"PLoS ONE","language":"en","page":"e0175914","source":"DOI.org (Crossref)","title":"Comparison of risk factors and outcomes of gestational hypertension and pre-eclampsia","URL":"https://dx.plos.org/10.1371/journal.pone.0175914","volume":"12","author":[{"family":"Shen","given":"Minxue"},{"family":"Smith","given":"Graeme N."},{"family":"Rodger","given":"Marc"},{"family":"White","given":"Ruth Rennicks"},{"family":"Walker","given":"Mark C."},{"family":"Wen","given":"Shi Wu"}],"editor":[{"family":"Räisänen","given":"Sari Helena"}],"accessed":{"date-parts":[["2022",9,21]]},"issued":{"date-parts":[["2017",4,24]]}}}],"schema":"https://github.com/citation-style-language/schema/raw/master/csl-citation.json"}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(M. Shen et al., 2017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</w:tcPr>
          <w:p w14:paraId="2168A2EF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751B2" w:rsidRPr="00B751B2" w14:paraId="72D764B9" w14:textId="77777777" w:rsidTr="00BF3591">
        <w:trPr>
          <w:trHeight w:val="506"/>
        </w:trPr>
        <w:tc>
          <w:tcPr>
            <w:tcW w:w="2421" w:type="dxa"/>
          </w:tcPr>
          <w:p w14:paraId="0B9DD8C8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Chronic hypertension</w:t>
            </w:r>
          </w:p>
        </w:tc>
        <w:tc>
          <w:tcPr>
            <w:tcW w:w="6804" w:type="dxa"/>
          </w:tcPr>
          <w:p w14:paraId="419225C8" w14:textId="18B7A178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03F11" w:rsidRPr="00B751B2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140 mmHg or a DBP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90 mmHg, or both</w:t>
            </w:r>
            <w:r w:rsidR="00AB3715" w:rsidRPr="00B751B2">
              <w:rPr>
                <w:rFonts w:ascii="Times New Roman" w:hAnsi="Times New Roman" w:cs="Times New Roman"/>
                <w:sz w:val="20"/>
                <w:szCs w:val="20"/>
              </w:rPr>
              <w:t>, on 2 occasions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at least 4 hours apart before 20 weeks of gestation</w:t>
            </w:r>
          </w:p>
        </w:tc>
        <w:tc>
          <w:tcPr>
            <w:tcW w:w="1695" w:type="dxa"/>
          </w:tcPr>
          <w:p w14:paraId="1EC03B2E" w14:textId="09CE5A16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{"citationID":"NilhoxR7","properties":{"formattedCitation":"(Seely &amp; Ecker, 2014)","plainCitation":"(Seely &amp; Ecker, 2014)","noteIndex":0},"citationItems":[{"id":88,"uris":["http://zotero.org/users/5033310/items/MFQXQF4P"],"itemData":{"id":88,"type":"article-journal","container-title":"Circulation","DOI":"10.1161/CIRCULATIONAHA.113.003904","ISSN":"0009-7322, 1524-4539","issue":"11","journalAbbreviation":"Circulation","language":"en","page":"1254-1261","source":"DOI.org (Crossref)","title":"Chronic Hypertension in Pregnancy","URL":"https://www.ahajournals.org/doi/10.1161/CIRCULATIONAHA.113.003904","volume":"129","author":[{"family":"Seely","given":"Ellen W."},{"family":"Ecker","given":"Jeffrey"}],"accessed":{"date-parts":[["2022",9,21]]},"issued":{"date-parts":[["2014",3,18]]}}}],"schema":"https://github.com/citation-style-language/schema/raw/master/csl-citation.json"}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(Seely &amp; Ecker, 2014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</w:tcPr>
          <w:p w14:paraId="4FAB1F2A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No; general cardio-vascular involvement not specific to placental vasculatures</w:t>
            </w:r>
          </w:p>
        </w:tc>
      </w:tr>
      <w:tr w:rsidR="00B751B2" w:rsidRPr="00B751B2" w14:paraId="50FAF89C" w14:textId="77777777" w:rsidTr="00E97863">
        <w:trPr>
          <w:trHeight w:val="3435"/>
        </w:trPr>
        <w:tc>
          <w:tcPr>
            <w:tcW w:w="2421" w:type="dxa"/>
          </w:tcPr>
          <w:p w14:paraId="4C3FFE93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Pre-eclampsia</w:t>
            </w:r>
          </w:p>
        </w:tc>
        <w:tc>
          <w:tcPr>
            <w:tcW w:w="6804" w:type="dxa"/>
          </w:tcPr>
          <w:p w14:paraId="4E16207F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GH and one of the following:</w:t>
            </w:r>
          </w:p>
          <w:p w14:paraId="4CEFBF87" w14:textId="5542C52E" w:rsidR="00124A67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Proteinuria (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300 mg per 24 hours urine collection, or protein/creatinine ratio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0.3 mg/dL or dipstick reading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715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+ or in the absence of proteinuria</w:t>
            </w:r>
            <w:r w:rsidR="00542188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, new onset hypertension</w:t>
            </w:r>
            <w:r w:rsidR="00BD04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and any of the following:</w:t>
            </w:r>
          </w:p>
          <w:p w14:paraId="41E992D6" w14:textId="59F5FCCA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thrombocytopenia (platelet count &lt; 100,000 x 109/L)</w:t>
            </w:r>
          </w:p>
          <w:p w14:paraId="38B2E865" w14:textId="0C824598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serum creatinine concentration &gt;1.1 mg/dL, or doubling of serum creatinine concentrations in </w:t>
            </w:r>
            <w:r w:rsidR="00BD043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absence of other disease</w:t>
            </w:r>
            <w:r w:rsidR="00BD043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</w:t>
            </w:r>
          </w:p>
          <w:p w14:paraId="428A3D90" w14:textId="3AFE8D14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elevated concentrations of liver transaminases to twice the normal concentration</w:t>
            </w:r>
          </w:p>
          <w:p w14:paraId="047D7DB3" w14:textId="77777777" w:rsidR="00124A67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pulmonary edema</w:t>
            </w:r>
          </w:p>
          <w:p w14:paraId="62E04BD2" w14:textId="5127AED2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new onset headache unresponsive to medication and not accounted by alternative diagnosis or visual symptoms (</w:t>
            </w:r>
            <w:r w:rsidR="001D29AD" w:rsidRPr="00B751B2">
              <w:rPr>
                <w:rFonts w:ascii="Times New Roman" w:hAnsi="Times New Roman" w:cs="Times New Roman"/>
                <w:sz w:val="20"/>
                <w:szCs w:val="20"/>
              </w:rPr>
              <w:t>ACOG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14:paraId="51C9AF66" w14:textId="4FEB4B9C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2-5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{"citationID":"FRjBAmmc","properties":{"formattedCitation":"(Hutcheon et al., 2011)","plainCitation":"(Hutcheon et al., 2011)","noteIndex":0},"citationItems":[{"id":85,"uris":["http://zotero.org/users/5033310/items/5HPU8GH9"],"itemData":{"id":85,"type":"article-journal","container-title":"Best Practice &amp; Research Clinical Obstetrics &amp; Gynaecology","DOI":"10.1016/j.bpobgyn.2011.01.006","ISSN":"15216934","issue":"4","journalAbbreviation":"Best Practice &amp; Research Clinical Obstetrics &amp; Gynaecology","language":"en","page":"391-403","source":"DOI.org (Crossref)","title":"Epidemiology of pre-eclampsia and the other hypertensive disorders of pregnancy","URL":"https://linkinghub.elsevier.com/retrieve/pii/S1521693411000198","volume":"25","author":[{"family":"Hutcheon","given":"Jennifer A."},{"family":"Lisonkova","given":"Sarka"},{"family":"Joseph","given":"K.S."}],"accessed":{"date-parts":[["2022",9,21]]},"issued":{"date-parts":[["2011",8]]}}}],"schema":"https://github.com/citation-style-language/schema/raw/master/csl-citation.json"}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(Hutcheon et al., 2011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</w:tcPr>
          <w:p w14:paraId="415ABC6A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751B2" w:rsidRPr="00B751B2" w14:paraId="117F290D" w14:textId="77777777" w:rsidTr="00E97863">
        <w:tc>
          <w:tcPr>
            <w:tcW w:w="2421" w:type="dxa"/>
          </w:tcPr>
          <w:p w14:paraId="47206B2A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Superimposed preeclampsia</w:t>
            </w:r>
          </w:p>
        </w:tc>
        <w:tc>
          <w:tcPr>
            <w:tcW w:w="6804" w:type="dxa"/>
          </w:tcPr>
          <w:p w14:paraId="41BBF2B7" w14:textId="5EE6476E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When women with chronic hypertension </w:t>
            </w:r>
            <w:r w:rsidR="00BD0431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signs of preeclampsia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{"citationID":"EnBzvXXd","properties":{"formattedCitation":"(Banala et al., 2020)","plainCitation":"(Banala et al., 2020)","noteIndex":0},"citationItems":[{"id":80,"uris":["http://zotero.org/users/5033310/items/7UVQE7UP"],"itemData":{"id":80,"type":"article-journal","container-title":"American Journal of Obstetrics and Gynecology","DOI":"10.1016/j.ajog.2020.03.004","ISSN":"00029378","issue":"3","journalAbbreviation":"American Journal of Obstetrics and Gynecology","language":"en","page":"419.e1-419.e16","source":"DOI.org (Crossref)","title":"Impact of the ACOG guideline regarding low-dose aspirin for prevention of superimposed preeclampsia in women with chronic hypertension","URL":"https://linkinghub.elsevier.com/retrieve/pii/S0002937820303227","volume":"223","author":[{"family":"Banala","given":"Chaitra"},{"family":"Moreno","given":"Sindy"},{"family":"Cruz","given":"Yury"},{"family":"Boelig","given":"Rupsa C."},{"family":"Saccone","given":"Gabriele"},{"family":"Berghella","given":"Vincenzo"},{"family":"Schoen","given":"Corina N."},{"family":"Roman","given":"Amanda"}],"accessed":{"date-parts":[["2022",9,20]]},"issued":{"date-parts":[["2020",9]]}}}],"schema":"https://github.com/citation-style-language/schema/raw/master/csl-citation.json"}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(Banala et al., 2020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[6]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95" w:type="dxa"/>
          </w:tcPr>
          <w:p w14:paraId="625B22C1" w14:textId="1D82FE0C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0.2-1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{"citationID":"zwgrSBuE","properties":{"formattedCitation":"(Banala et al., 2020)","plainCitation":"(Banala et al., 2020)","noteIndex":0},"citationItems":[{"id":80,"uris":["http://zotero.org/users/5033310/items/7UVQE7UP"],"itemData":{"id":80,"type":"article-journal","container-title":"American Journal of Obstetrics and Gynecology","DOI":"10.1016/j.ajog.2020.03.004","ISSN":"00029378","issue":"3","journalAbbreviation":"American Journal of Obstetrics and Gynecology","language":"en","page":"419.e1-419.e16","source":"DOI.org (Crossref)","title":"Impact of the ACOG guideline regarding low-dose aspirin for prevention of superimposed preeclampsia in women with chronic hypertension","URL":"https://linkinghub.elsevier.com/retrieve/pii/S0002937820303227","volume":"223","author":[{"family":"Banala","given":"Chaitra"},{"family":"Moreno","given":"Sindy"},{"family":"Cruz","given":"Yury"},{"family":"Boelig","given":"Rupsa C."},{"family":"Saccone","given":"Gabriele"},{"family":"Berghella","given":"Vincenzo"},{"family":"Schoen","given":"Corina N."},{"family":"Roman","given":"Amanda"}],"accessed":{"date-parts":[["2022",9,20]]},"issued":{"date-parts":[["2020",9]]}}}],"schema":"https://github.com/citation-style-language/schema/raw/master/csl-citation.json"}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(Banala et al., 2020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[6]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</w:tcPr>
          <w:p w14:paraId="5D5142DE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751B2" w:rsidRPr="00B751B2" w14:paraId="483F2F0D" w14:textId="77777777" w:rsidTr="00E97863">
        <w:tc>
          <w:tcPr>
            <w:tcW w:w="2421" w:type="dxa"/>
          </w:tcPr>
          <w:p w14:paraId="56568880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Eclampsia</w:t>
            </w:r>
          </w:p>
        </w:tc>
        <w:tc>
          <w:tcPr>
            <w:tcW w:w="6804" w:type="dxa"/>
          </w:tcPr>
          <w:p w14:paraId="50BF79DB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HDP with convulsive manifestations</w:t>
            </w:r>
          </w:p>
        </w:tc>
        <w:tc>
          <w:tcPr>
            <w:tcW w:w="1695" w:type="dxa"/>
          </w:tcPr>
          <w:p w14:paraId="5CB29ADA" w14:textId="5C107F54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&lt;1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{"citationID":"lCxA2tXi","properties":{"formattedCitation":"(Wellington &amp; Mulla, 2012)","plainCitation":"(Wellington &amp; Mulla, 2012)","noteIndex":0},"citationItems":[{"id":90,"uris":["http://zotero.org/users/5033310/items/RHPIZ2U6"],"itemData":{"id":90,"type":"article-journal","container-title":"American Journal of Hypertension","DOI":"10.1038/ajh.2011.173","ISSN":"0895-7061, 1941-7225","issue":"1","journalAbbreviation":"American Journal of Hypertension","language":"en","page":"115-119","source":"DOI.org (Crossref)","title":"Seasonal Trend in the Occurrence of Preeclampsia and Eclampsia in Texas","URL":"https://academic.oup.com/ajh/article-lookup/doi/10.1038/ajh.2011.173","volume":"25","author":[{"family":"Wellington","given":"K."},{"family":"Mulla","given":"Z. D."}],"accessed":{"date-parts":[["2022",9,21]]},"issued":{"date-parts":[["2012",1,1]]}}}],"schema":"https://github.com/citation-style-language/schema/raw/master/csl-citation.json"}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(Wellington &amp; Mulla, 2012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[7]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</w:tcPr>
          <w:p w14:paraId="4AEB844C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751B2" w:rsidRPr="00B751B2" w14:paraId="6A8ED376" w14:textId="77777777" w:rsidTr="00E97863">
        <w:tc>
          <w:tcPr>
            <w:tcW w:w="2421" w:type="dxa"/>
          </w:tcPr>
          <w:p w14:paraId="3AFCDE97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37138935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Hemolysis, Elevated Liver Enzymes and Low Platelet count </w:t>
            </w:r>
            <w:bookmarkEnd w:id="3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(HELLP) syndrome</w:t>
            </w:r>
          </w:p>
        </w:tc>
        <w:tc>
          <w:tcPr>
            <w:tcW w:w="6804" w:type="dxa"/>
          </w:tcPr>
          <w:p w14:paraId="11F40AAB" w14:textId="7426537E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LDH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600 IU/dL, AST and ALT &gt; twice the upper limit of normal levels, and platelet count &lt; 100,000 x 109/L</w:t>
            </w:r>
          </w:p>
        </w:tc>
        <w:tc>
          <w:tcPr>
            <w:tcW w:w="1695" w:type="dxa"/>
          </w:tcPr>
          <w:p w14:paraId="5A4A045B" w14:textId="69E308DB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0.5-0.9 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ZOTERO_ITEM CSL_CITATION {"citationID":"TD9b8x5u","properties":{"formattedCitation":"(Khalid et al., 2022)","plainCitation":"(Khalid et al., 2022)","noteIndex":0},"citationItems":[{"id":82,"uris":["http://zotero.org/users/5033310/items/6MEILGZ9"],"itemData":{"id":82,"type":"chapter","abstract":"The syndrome of hemolysis with a microangiopathic blood smear, elevated liver enzymes, and low platelets in pregnant and postpartum patients is more commonly known by the acronym HELLP syndrome.[1][2] It may represent a complication or progression of severe preeclampsia; however, this relationship has been challenged by recent evidence that they may be separate disorders as preceding hypertension or proteinuria is absent in at least 15 to 20% of patients with HELLP syndrome.[3] A previous history of preeclampsia or HELLP syndrome can lead to recurrence in subsequent pregnancies.[3]  Multiparity and age may contribute to increased risk.[3][4][5] Genetic association for increased predisposition for HELLP syndrome has been noted.[3] It has been recently reported that patients with SARS-CoV-2 infection during pregnancy have an increased risk for preeclampsia and HELLP syndrome.[6]","call-number":"NBK560615","container-title":"StatPearls","event-place":"Treasure Island (FL)","language":"eng","license":"Copyright © 2022, StatPearls Publishing LLC.","note":"PMID: 32809450","publisher":"StatPearls Publishing","publisher-place":"Treasure Island (FL)","source":"PubMed","title":"HELLP Syndrome","URL":"http://www.ncbi.nlm.nih.gov/books/NBK560615/","author":[{"family":"Khalid","given":"Farhan"},{"family":"Mahendraker","given":"Neetu"},{"family":"Tonismae","given":"Tiffany"}],"accessed":{"date-parts":[["2022",9,20]]},"issued":{"date-parts":[["2022"]]}}}],"schema":"https://github.com/citation-style-language/schema/raw/master/csl-citation.json"} </w:instrTex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(Khalid et al., 2022</w:t>
            </w:r>
            <w:r w:rsidR="00066EB9">
              <w:rPr>
                <w:rFonts w:ascii="Times New Roman" w:hAnsi="Times New Roman" w:cs="Times New Roman"/>
                <w:sz w:val="20"/>
                <w:szCs w:val="20"/>
              </w:rPr>
              <w:t>[8]</w:t>
            </w:r>
            <w:bookmarkStart w:id="4" w:name="_GoBack"/>
            <w:bookmarkEnd w:id="4"/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</w:tcPr>
          <w:p w14:paraId="649606C6" w14:textId="77777777" w:rsidR="00E97863" w:rsidRPr="00B751B2" w:rsidRDefault="00E97863" w:rsidP="00E97863">
            <w:pPr>
              <w:tabs>
                <w:tab w:val="left" w:pos="37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73E3BA83" w14:textId="791E926A" w:rsidR="00103F11" w:rsidRPr="00B751B2" w:rsidRDefault="000529E6" w:rsidP="00103F11">
      <w:pPr>
        <w:tabs>
          <w:tab w:val="left" w:pos="3751"/>
        </w:tabs>
        <w:jc w:val="left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B751B2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SBP, systolic blood pressure; DBP, diastolic blood pressure; </w:t>
      </w:r>
      <w:r w:rsidR="00103F11" w:rsidRPr="00B751B2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LDH, Lactate dehydrogenase; AST, Aspartate transaminase; ALT, Alanine transaminase.</w:t>
      </w:r>
    </w:p>
    <w:bookmarkEnd w:id="2"/>
    <w:p w14:paraId="6310D6CF" w14:textId="77777777" w:rsidR="00E97863" w:rsidRPr="00B751B2" w:rsidRDefault="00E97863" w:rsidP="00682CF4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54EB2B" w14:textId="4FAA6760" w:rsidR="00255A2E" w:rsidRPr="00B751B2" w:rsidRDefault="00E306E5" w:rsidP="00AB1C49">
      <w:pPr>
        <w:ind w:hanging="480"/>
        <w:rPr>
          <w:rFonts w:ascii="Times New Roman" w:hAnsi="Times New Roman" w:cs="Times New Roman"/>
          <w:b/>
          <w:bCs/>
        </w:rPr>
      </w:pPr>
      <w:r w:rsidRPr="00B751B2">
        <w:rPr>
          <w:rFonts w:ascii="Times New Roman" w:hAnsi="Times New Roman" w:cs="Times New Roman"/>
          <w:b/>
          <w:bCs/>
        </w:rPr>
        <w:t>References</w:t>
      </w:r>
      <w:r w:rsidR="00255A2E" w:rsidRPr="00B751B2">
        <w:rPr>
          <w:rFonts w:ascii="Times New Roman" w:hAnsi="Times New Roman" w:cs="Times New Roman"/>
          <w:b/>
          <w:bCs/>
        </w:rPr>
        <w:t>:</w:t>
      </w:r>
    </w:p>
    <w:p w14:paraId="5A5179F1" w14:textId="016198B8" w:rsidR="00AB1C49" w:rsidRPr="00B751B2" w:rsidRDefault="00066EB9" w:rsidP="00171C58">
      <w:pPr>
        <w:ind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1 </w:t>
      </w:r>
      <w:r w:rsidR="00AB1C49" w:rsidRPr="00B751B2">
        <w:rPr>
          <w:rFonts w:ascii="Times New Roman" w:hAnsi="Times New Roman"/>
          <w:lang w:val="de-DE"/>
        </w:rPr>
        <w:t>Braunthal, Stephanie, and Andrei Brateanu. “Hypertension in Pregnancy: Pathophysiolo</w:t>
      </w:r>
      <w:proofErr w:type="spellStart"/>
      <w:r w:rsidR="00AB1C49" w:rsidRPr="00B751B2">
        <w:rPr>
          <w:rFonts w:ascii="Times New Roman" w:hAnsi="Times New Roman" w:cs="Times New Roman"/>
        </w:rPr>
        <w:t>gy</w:t>
      </w:r>
      <w:proofErr w:type="spellEnd"/>
      <w:r w:rsidR="00AB1C49" w:rsidRPr="00B751B2">
        <w:rPr>
          <w:rFonts w:ascii="Times New Roman" w:hAnsi="Times New Roman" w:cs="Times New Roman"/>
        </w:rPr>
        <w:t xml:space="preserve"> and Treatment.” </w:t>
      </w:r>
      <w:r w:rsidR="00AB1C49" w:rsidRPr="00B751B2">
        <w:rPr>
          <w:rFonts w:ascii="Times New Roman" w:hAnsi="Times New Roman" w:cs="Times New Roman"/>
          <w:i/>
          <w:iCs/>
        </w:rPr>
        <w:t>SAGE Open Medicine</w:t>
      </w:r>
      <w:r w:rsidR="00AB1C49" w:rsidRPr="00B751B2">
        <w:rPr>
          <w:rFonts w:ascii="Times New Roman" w:hAnsi="Times New Roman" w:cs="Times New Roman"/>
        </w:rPr>
        <w:t xml:space="preserve"> 7 (January 2019): 205031211984370. </w:t>
      </w:r>
      <w:hyperlink r:id="rId8" w:history="1">
        <w:r w:rsidR="00AB1C49" w:rsidRPr="00B751B2">
          <w:rPr>
            <w:rStyle w:val="Hyperlink"/>
            <w:rFonts w:ascii="Times New Roman" w:hAnsi="Times New Roman" w:cs="Times New Roman"/>
            <w:color w:val="auto"/>
          </w:rPr>
          <w:t>https://doi.org/10.1177/2050312119843700</w:t>
        </w:r>
      </w:hyperlink>
      <w:r w:rsidR="00AB1C49" w:rsidRPr="00B751B2">
        <w:rPr>
          <w:rFonts w:ascii="Times New Roman" w:hAnsi="Times New Roman" w:cs="Times New Roman"/>
        </w:rPr>
        <w:t>.</w:t>
      </w:r>
    </w:p>
    <w:p w14:paraId="621F8E49" w14:textId="7C3C3560" w:rsidR="00E97863" w:rsidRPr="00B751B2" w:rsidRDefault="00066EB9" w:rsidP="00171C58">
      <w:pPr>
        <w:ind w:hanging="48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 w:cs="Times New Roman"/>
        </w:rPr>
        <w:t xml:space="preserve">2 </w:t>
      </w:r>
      <w:r w:rsidR="00E97863" w:rsidRPr="00B751B2">
        <w:rPr>
          <w:rFonts w:ascii="Times New Roman" w:hAnsi="Times New Roman" w:cs="Times New Roman"/>
        </w:rPr>
        <w:t xml:space="preserve">Shen, </w:t>
      </w:r>
      <w:proofErr w:type="spellStart"/>
      <w:r w:rsidR="00E97863" w:rsidRPr="00B751B2">
        <w:rPr>
          <w:rFonts w:ascii="Times New Roman" w:hAnsi="Times New Roman" w:cs="Times New Roman"/>
        </w:rPr>
        <w:t>Minxue</w:t>
      </w:r>
      <w:proofErr w:type="spellEnd"/>
      <w:r w:rsidR="00E97863" w:rsidRPr="00B751B2">
        <w:rPr>
          <w:rFonts w:ascii="Times New Roman" w:hAnsi="Times New Roman" w:cs="Times New Roman"/>
        </w:rPr>
        <w:t xml:space="preserve">, Graeme N. Smith, Marc Rodger, Ruth Rennicks White, Mark C. Walker, and Shi Wu Wen. “Comparison of Risk Factors and Outcomes of Gestational </w:t>
      </w:r>
      <w:r w:rsidR="00E97863" w:rsidRPr="00B751B2">
        <w:rPr>
          <w:rFonts w:ascii="Times New Roman" w:hAnsi="Times New Roman" w:cs="Times New Roman"/>
        </w:rPr>
        <w:lastRenderedPageBreak/>
        <w:t xml:space="preserve">Hypertension and Pre-Eclampsia.” Edited by Sari Helena Räisänen. </w:t>
      </w:r>
      <w:r w:rsidR="00E97863" w:rsidRPr="00B751B2">
        <w:rPr>
          <w:rFonts w:ascii="Times New Roman" w:hAnsi="Times New Roman" w:cs="Times New Roman"/>
          <w:i/>
          <w:iCs/>
        </w:rPr>
        <w:t>PLOS ONE</w:t>
      </w:r>
      <w:r w:rsidR="00E97863" w:rsidRPr="00B751B2">
        <w:rPr>
          <w:rFonts w:ascii="Times New Roman" w:hAnsi="Times New Roman" w:cs="Times New Roman"/>
        </w:rPr>
        <w:t xml:space="preserve"> 12, no. 4 (April 24, 2017): e0175914. </w:t>
      </w:r>
      <w:hyperlink r:id="rId9" w:history="1">
        <w:r w:rsidR="00E97863" w:rsidRPr="00B751B2">
          <w:rPr>
            <w:rStyle w:val="Hyperlink"/>
            <w:rFonts w:ascii="Times New Roman" w:hAnsi="Times New Roman"/>
            <w:color w:val="auto"/>
            <w:lang w:val="de-DE"/>
          </w:rPr>
          <w:t>https://doi.org/10.1371/journal.pone.0175914</w:t>
        </w:r>
      </w:hyperlink>
      <w:r w:rsidR="00E97863" w:rsidRPr="00B751B2">
        <w:rPr>
          <w:rFonts w:ascii="Times New Roman" w:hAnsi="Times New Roman"/>
          <w:lang w:val="de-DE"/>
        </w:rPr>
        <w:t>.</w:t>
      </w:r>
    </w:p>
    <w:p w14:paraId="0453478A" w14:textId="0D22C03D" w:rsidR="00E97863" w:rsidRPr="00B751B2" w:rsidRDefault="00066EB9" w:rsidP="00171C58">
      <w:pPr>
        <w:ind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3 </w:t>
      </w:r>
      <w:r w:rsidR="00E97863" w:rsidRPr="00B751B2">
        <w:rPr>
          <w:rFonts w:ascii="Times New Roman" w:hAnsi="Times New Roman"/>
          <w:lang w:val="de-DE"/>
        </w:rPr>
        <w:t xml:space="preserve">Seely, Ellen W., and Jeffrey Ecker. </w:t>
      </w:r>
      <w:r w:rsidR="00E97863" w:rsidRPr="00B751B2">
        <w:rPr>
          <w:rFonts w:ascii="Times New Roman" w:hAnsi="Times New Roman" w:cs="Times New Roman"/>
        </w:rPr>
        <w:t xml:space="preserve">“Chronic Hypertension in Pregnancy.” </w:t>
      </w:r>
      <w:r w:rsidR="00E97863" w:rsidRPr="00B751B2">
        <w:rPr>
          <w:rFonts w:ascii="Times New Roman" w:hAnsi="Times New Roman" w:cs="Times New Roman"/>
          <w:i/>
          <w:iCs/>
        </w:rPr>
        <w:t>Circulation</w:t>
      </w:r>
      <w:r w:rsidR="00E97863" w:rsidRPr="00B751B2">
        <w:rPr>
          <w:rFonts w:ascii="Times New Roman" w:hAnsi="Times New Roman" w:cs="Times New Roman"/>
        </w:rPr>
        <w:t xml:space="preserve"> 129, no. 11 (March 18, 2014): 1254–61. </w:t>
      </w:r>
      <w:hyperlink r:id="rId10" w:history="1">
        <w:r w:rsidR="00E97863" w:rsidRPr="00B751B2">
          <w:rPr>
            <w:rStyle w:val="Hyperlink"/>
            <w:rFonts w:ascii="Times New Roman" w:hAnsi="Times New Roman" w:cs="Times New Roman"/>
            <w:color w:val="auto"/>
          </w:rPr>
          <w:t>https://doi.org/10.1161/CIRCULATIONAHA.113.003904</w:t>
        </w:r>
      </w:hyperlink>
      <w:r w:rsidR="00E97863" w:rsidRPr="00B751B2">
        <w:rPr>
          <w:rFonts w:ascii="Times New Roman" w:hAnsi="Times New Roman" w:cs="Times New Roman"/>
        </w:rPr>
        <w:t>.</w:t>
      </w:r>
    </w:p>
    <w:p w14:paraId="32F19C61" w14:textId="6B349549" w:rsidR="001D29AD" w:rsidRPr="00B751B2" w:rsidRDefault="00066EB9" w:rsidP="00171C58">
      <w:pPr>
        <w:ind w:hanging="480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 </w:t>
      </w:r>
      <w:r w:rsidR="001D29AD" w:rsidRPr="00B751B2">
        <w:rPr>
          <w:rFonts w:ascii="Times New Roman" w:hAnsi="Times New Roman" w:cs="Times New Roman"/>
          <w:noProof/>
        </w:rPr>
        <w:t xml:space="preserve">ACOG, 2020. Gestational Hypertension and Preeclampsia: ACOG Practice Bulletin, Number 222. </w:t>
      </w:r>
      <w:r w:rsidR="001D29AD" w:rsidRPr="00B751B2">
        <w:rPr>
          <w:rFonts w:ascii="Times New Roman" w:hAnsi="Times New Roman" w:cs="Times New Roman"/>
          <w:i/>
          <w:noProof/>
        </w:rPr>
        <w:t>Obstetrics &amp; Gynecology, 135</w:t>
      </w:r>
      <w:r w:rsidR="001D29AD" w:rsidRPr="00B751B2">
        <w:rPr>
          <w:rFonts w:ascii="Times New Roman" w:hAnsi="Times New Roman" w:cs="Times New Roman"/>
          <w:noProof/>
        </w:rPr>
        <w:t xml:space="preserve">(6). </w:t>
      </w:r>
      <w:hyperlink r:id="rId11" w:history="1">
        <w:r w:rsidR="001D29AD" w:rsidRPr="00B751B2">
          <w:rPr>
            <w:rStyle w:val="Hyperlink"/>
            <w:rFonts w:ascii="Times New Roman" w:hAnsi="Times New Roman" w:cs="Times New Roman"/>
            <w:noProof/>
            <w:color w:val="auto"/>
          </w:rPr>
          <w:t>https://www.preeclampsia.org/frontend/assets/img/advocacy_resource/Gestational_Hypertension_and_Preeclampsia_ACOG_Practice_Bulletin,_Number_222_1605448006.pdf</w:t>
        </w:r>
      </w:hyperlink>
    </w:p>
    <w:p w14:paraId="317435E8" w14:textId="648AA4EF" w:rsidR="00E97863" w:rsidRPr="00B751B2" w:rsidRDefault="00066EB9" w:rsidP="00171C58">
      <w:pPr>
        <w:ind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E97863" w:rsidRPr="00B751B2">
        <w:rPr>
          <w:rFonts w:ascii="Times New Roman" w:hAnsi="Times New Roman" w:cs="Times New Roman"/>
        </w:rPr>
        <w:t xml:space="preserve">Hutcheon, Jennifer A., </w:t>
      </w:r>
      <w:proofErr w:type="spellStart"/>
      <w:r w:rsidR="00E97863" w:rsidRPr="00B751B2">
        <w:rPr>
          <w:rFonts w:ascii="Times New Roman" w:hAnsi="Times New Roman" w:cs="Times New Roman"/>
        </w:rPr>
        <w:t>Sarka</w:t>
      </w:r>
      <w:proofErr w:type="spellEnd"/>
      <w:r w:rsidR="00E97863" w:rsidRPr="00B751B2">
        <w:rPr>
          <w:rFonts w:ascii="Times New Roman" w:hAnsi="Times New Roman" w:cs="Times New Roman"/>
        </w:rPr>
        <w:t xml:space="preserve"> </w:t>
      </w:r>
      <w:proofErr w:type="spellStart"/>
      <w:r w:rsidR="00E97863" w:rsidRPr="00B751B2">
        <w:rPr>
          <w:rFonts w:ascii="Times New Roman" w:hAnsi="Times New Roman" w:cs="Times New Roman"/>
        </w:rPr>
        <w:t>Lisonkova</w:t>
      </w:r>
      <w:proofErr w:type="spellEnd"/>
      <w:r w:rsidR="00E97863" w:rsidRPr="00B751B2">
        <w:rPr>
          <w:rFonts w:ascii="Times New Roman" w:hAnsi="Times New Roman" w:cs="Times New Roman"/>
        </w:rPr>
        <w:t xml:space="preserve">, and K.S. Joseph. “Epidemiology of Pre-Eclampsia and the Other Hypertensive Disorders of Pregnancy.” </w:t>
      </w:r>
      <w:r w:rsidR="00E97863" w:rsidRPr="00B751B2">
        <w:rPr>
          <w:rFonts w:ascii="Times New Roman" w:hAnsi="Times New Roman" w:cs="Times New Roman"/>
          <w:i/>
          <w:iCs/>
        </w:rPr>
        <w:t xml:space="preserve">Best Practice &amp; Research Clinical Obstetrics &amp; </w:t>
      </w:r>
      <w:proofErr w:type="spellStart"/>
      <w:r w:rsidR="00E97863" w:rsidRPr="00B751B2">
        <w:rPr>
          <w:rFonts w:ascii="Times New Roman" w:hAnsi="Times New Roman" w:cs="Times New Roman"/>
          <w:i/>
          <w:iCs/>
        </w:rPr>
        <w:t>Gynaecology</w:t>
      </w:r>
      <w:proofErr w:type="spellEnd"/>
      <w:r w:rsidR="00E97863" w:rsidRPr="00B751B2">
        <w:rPr>
          <w:rFonts w:ascii="Times New Roman" w:hAnsi="Times New Roman" w:cs="Times New Roman"/>
        </w:rPr>
        <w:t xml:space="preserve"> 25, no. 4 (August 2011): 391–403. </w:t>
      </w:r>
      <w:hyperlink r:id="rId12" w:history="1">
        <w:r w:rsidR="00E97863" w:rsidRPr="00B751B2">
          <w:rPr>
            <w:rStyle w:val="Hyperlink"/>
            <w:rFonts w:ascii="Times New Roman" w:hAnsi="Times New Roman" w:cs="Times New Roman"/>
            <w:color w:val="auto"/>
          </w:rPr>
          <w:t>https://doi.org/10.1016/j.bpobgyn.2011.01.006</w:t>
        </w:r>
      </w:hyperlink>
      <w:r w:rsidR="00E97863" w:rsidRPr="00B751B2">
        <w:rPr>
          <w:rFonts w:ascii="Times New Roman" w:hAnsi="Times New Roman" w:cs="Times New Roman"/>
        </w:rPr>
        <w:t>.</w:t>
      </w:r>
    </w:p>
    <w:p w14:paraId="6D5D979C" w14:textId="4172DA3D" w:rsidR="00E97863" w:rsidRPr="00B751B2" w:rsidRDefault="00066EB9" w:rsidP="00171C58">
      <w:pPr>
        <w:ind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 w:rsidR="00E97863" w:rsidRPr="00B751B2">
        <w:rPr>
          <w:rFonts w:ascii="Times New Roman" w:hAnsi="Times New Roman" w:cs="Times New Roman"/>
        </w:rPr>
        <w:t>Banala</w:t>
      </w:r>
      <w:proofErr w:type="spellEnd"/>
      <w:r w:rsidR="00E97863" w:rsidRPr="00B751B2">
        <w:rPr>
          <w:rFonts w:ascii="Times New Roman" w:hAnsi="Times New Roman" w:cs="Times New Roman"/>
        </w:rPr>
        <w:t xml:space="preserve">, Chaitra, Sindy Moreno, </w:t>
      </w:r>
      <w:proofErr w:type="spellStart"/>
      <w:r w:rsidR="00E97863" w:rsidRPr="00B751B2">
        <w:rPr>
          <w:rFonts w:ascii="Times New Roman" w:hAnsi="Times New Roman" w:cs="Times New Roman"/>
        </w:rPr>
        <w:t>Yury</w:t>
      </w:r>
      <w:proofErr w:type="spellEnd"/>
      <w:r w:rsidR="00E97863" w:rsidRPr="00B751B2">
        <w:rPr>
          <w:rFonts w:ascii="Times New Roman" w:hAnsi="Times New Roman" w:cs="Times New Roman"/>
        </w:rPr>
        <w:t xml:space="preserve"> Cruz, </w:t>
      </w:r>
      <w:proofErr w:type="spellStart"/>
      <w:r w:rsidR="00E97863" w:rsidRPr="00B751B2">
        <w:rPr>
          <w:rFonts w:ascii="Times New Roman" w:hAnsi="Times New Roman" w:cs="Times New Roman"/>
        </w:rPr>
        <w:t>Rupsa</w:t>
      </w:r>
      <w:proofErr w:type="spellEnd"/>
      <w:r w:rsidR="00E97863" w:rsidRPr="00B751B2">
        <w:rPr>
          <w:rFonts w:ascii="Times New Roman" w:hAnsi="Times New Roman" w:cs="Times New Roman"/>
        </w:rPr>
        <w:t xml:space="preserve"> C. </w:t>
      </w:r>
      <w:proofErr w:type="spellStart"/>
      <w:r w:rsidR="00E97863" w:rsidRPr="00B751B2">
        <w:rPr>
          <w:rFonts w:ascii="Times New Roman" w:hAnsi="Times New Roman" w:cs="Times New Roman"/>
        </w:rPr>
        <w:t>Boelig</w:t>
      </w:r>
      <w:proofErr w:type="spellEnd"/>
      <w:r w:rsidR="00E97863" w:rsidRPr="00B751B2">
        <w:rPr>
          <w:rFonts w:ascii="Times New Roman" w:hAnsi="Times New Roman" w:cs="Times New Roman"/>
        </w:rPr>
        <w:t xml:space="preserve">, Gabriele </w:t>
      </w:r>
      <w:proofErr w:type="spellStart"/>
      <w:r w:rsidR="00E97863" w:rsidRPr="00B751B2">
        <w:rPr>
          <w:rFonts w:ascii="Times New Roman" w:hAnsi="Times New Roman" w:cs="Times New Roman"/>
        </w:rPr>
        <w:t>Saccone</w:t>
      </w:r>
      <w:proofErr w:type="spellEnd"/>
      <w:r w:rsidR="00E97863" w:rsidRPr="00B751B2">
        <w:rPr>
          <w:rFonts w:ascii="Times New Roman" w:hAnsi="Times New Roman" w:cs="Times New Roman"/>
        </w:rPr>
        <w:t xml:space="preserve">, Vincenzo </w:t>
      </w:r>
      <w:proofErr w:type="spellStart"/>
      <w:r w:rsidR="00E97863" w:rsidRPr="00B751B2">
        <w:rPr>
          <w:rFonts w:ascii="Times New Roman" w:hAnsi="Times New Roman" w:cs="Times New Roman"/>
        </w:rPr>
        <w:t>Berghella</w:t>
      </w:r>
      <w:proofErr w:type="spellEnd"/>
      <w:r w:rsidR="00E97863" w:rsidRPr="00B751B2">
        <w:rPr>
          <w:rFonts w:ascii="Times New Roman" w:hAnsi="Times New Roman" w:cs="Times New Roman"/>
        </w:rPr>
        <w:t xml:space="preserve">, Corina N. Schoen, and Amanda Roman. “Impact of the ACOG Guideline Regarding Low-Dose Aspirin for Prevention of Superimposed Preeclampsia in Women with Chronic Hypertension.” </w:t>
      </w:r>
      <w:r w:rsidR="00E97863" w:rsidRPr="00B751B2">
        <w:rPr>
          <w:rFonts w:ascii="Times New Roman" w:hAnsi="Times New Roman" w:cs="Times New Roman"/>
          <w:i/>
          <w:iCs/>
        </w:rPr>
        <w:t>American Journal of Obstetrics and Gynecology</w:t>
      </w:r>
      <w:r w:rsidR="00E97863" w:rsidRPr="00B751B2">
        <w:rPr>
          <w:rFonts w:ascii="Times New Roman" w:hAnsi="Times New Roman" w:cs="Times New Roman"/>
        </w:rPr>
        <w:t xml:space="preserve"> 223, no. 3 (September 2020): 419.e1-419.e16. </w:t>
      </w:r>
      <w:hyperlink r:id="rId13" w:history="1">
        <w:r w:rsidR="00E97863" w:rsidRPr="00B751B2">
          <w:rPr>
            <w:rStyle w:val="Hyperlink"/>
            <w:rFonts w:ascii="Times New Roman" w:hAnsi="Times New Roman" w:cs="Times New Roman"/>
            <w:color w:val="auto"/>
          </w:rPr>
          <w:t>https://doi.org/10.1016/j.ajog.2020.03.004</w:t>
        </w:r>
      </w:hyperlink>
      <w:r w:rsidR="00E97863" w:rsidRPr="00B751B2">
        <w:rPr>
          <w:rFonts w:ascii="Times New Roman" w:hAnsi="Times New Roman" w:cs="Times New Roman"/>
        </w:rPr>
        <w:t>.</w:t>
      </w:r>
    </w:p>
    <w:p w14:paraId="32B90514" w14:textId="7A2EAE76" w:rsidR="00E97863" w:rsidRPr="00B751B2" w:rsidRDefault="00066EB9" w:rsidP="00171C58">
      <w:pPr>
        <w:ind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="00E97863" w:rsidRPr="00B751B2">
        <w:rPr>
          <w:rFonts w:ascii="Times New Roman" w:hAnsi="Times New Roman" w:cs="Times New Roman"/>
        </w:rPr>
        <w:t xml:space="preserve">Wellington, K., and Z. D. Mulla. “Seasonal Trend in the Occurrence of Preeclampsia and Eclampsia in Texas.” </w:t>
      </w:r>
      <w:r w:rsidR="00E97863" w:rsidRPr="00B751B2">
        <w:rPr>
          <w:rFonts w:ascii="Times New Roman" w:hAnsi="Times New Roman" w:cs="Times New Roman"/>
          <w:i/>
          <w:iCs/>
        </w:rPr>
        <w:t>American Journal of Hypertension</w:t>
      </w:r>
      <w:r w:rsidR="00E97863" w:rsidRPr="00B751B2">
        <w:rPr>
          <w:rFonts w:ascii="Times New Roman" w:hAnsi="Times New Roman" w:cs="Times New Roman"/>
        </w:rPr>
        <w:t xml:space="preserve"> 25, no. 1 (January 1, 2012): 115–19. </w:t>
      </w:r>
      <w:hyperlink r:id="rId14" w:history="1">
        <w:r w:rsidR="00E97863" w:rsidRPr="00B751B2">
          <w:rPr>
            <w:rStyle w:val="Hyperlink"/>
            <w:rFonts w:ascii="Times New Roman" w:hAnsi="Times New Roman" w:cs="Times New Roman"/>
            <w:color w:val="auto"/>
          </w:rPr>
          <w:t>https://doi.org/10.1038/ajh.2011.173</w:t>
        </w:r>
      </w:hyperlink>
      <w:r w:rsidR="00E97863" w:rsidRPr="00B751B2">
        <w:rPr>
          <w:rFonts w:ascii="Times New Roman" w:hAnsi="Times New Roman" w:cs="Times New Roman"/>
        </w:rPr>
        <w:t>.</w:t>
      </w:r>
    </w:p>
    <w:p w14:paraId="1B58643E" w14:textId="71B77B57" w:rsidR="000B670B" w:rsidRPr="00B751B2" w:rsidRDefault="00066EB9" w:rsidP="00171C58">
      <w:pPr>
        <w:ind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="00E97863" w:rsidRPr="00B751B2">
        <w:rPr>
          <w:rFonts w:ascii="Times New Roman" w:hAnsi="Times New Roman" w:cs="Times New Roman"/>
        </w:rPr>
        <w:t xml:space="preserve">Khalid, Farhan, Neetu </w:t>
      </w:r>
      <w:proofErr w:type="spellStart"/>
      <w:r w:rsidR="00E97863" w:rsidRPr="00B751B2">
        <w:rPr>
          <w:rFonts w:ascii="Times New Roman" w:hAnsi="Times New Roman" w:cs="Times New Roman"/>
        </w:rPr>
        <w:t>Mahendraker</w:t>
      </w:r>
      <w:proofErr w:type="spellEnd"/>
      <w:r w:rsidR="00E97863" w:rsidRPr="00B751B2">
        <w:rPr>
          <w:rFonts w:ascii="Times New Roman" w:hAnsi="Times New Roman" w:cs="Times New Roman"/>
        </w:rPr>
        <w:t xml:space="preserve">, and Tiffany </w:t>
      </w:r>
      <w:proofErr w:type="spellStart"/>
      <w:r w:rsidR="00E97863" w:rsidRPr="00B751B2">
        <w:rPr>
          <w:rFonts w:ascii="Times New Roman" w:hAnsi="Times New Roman" w:cs="Times New Roman"/>
        </w:rPr>
        <w:t>Tonismae</w:t>
      </w:r>
      <w:proofErr w:type="spellEnd"/>
      <w:r w:rsidR="00E97863" w:rsidRPr="00B751B2">
        <w:rPr>
          <w:rFonts w:ascii="Times New Roman" w:hAnsi="Times New Roman" w:cs="Times New Roman"/>
        </w:rPr>
        <w:t xml:space="preserve">. “HELLP Syndrome.” In </w:t>
      </w:r>
      <w:proofErr w:type="spellStart"/>
      <w:r w:rsidR="00E97863" w:rsidRPr="00B751B2">
        <w:rPr>
          <w:rFonts w:ascii="Times New Roman" w:hAnsi="Times New Roman" w:cs="Times New Roman"/>
          <w:i/>
          <w:iCs/>
        </w:rPr>
        <w:t>StatPearls</w:t>
      </w:r>
      <w:proofErr w:type="spellEnd"/>
      <w:r w:rsidR="00E97863" w:rsidRPr="00B751B2">
        <w:rPr>
          <w:rFonts w:ascii="Times New Roman" w:hAnsi="Times New Roman" w:cs="Times New Roman"/>
        </w:rPr>
        <w:t xml:space="preserve">. Treasure Island (FL): </w:t>
      </w:r>
      <w:proofErr w:type="spellStart"/>
      <w:r w:rsidR="00E97863" w:rsidRPr="00B751B2">
        <w:rPr>
          <w:rFonts w:ascii="Times New Roman" w:hAnsi="Times New Roman" w:cs="Times New Roman"/>
        </w:rPr>
        <w:t>StatPearls</w:t>
      </w:r>
      <w:proofErr w:type="spellEnd"/>
      <w:r w:rsidR="00E97863" w:rsidRPr="00B751B2">
        <w:rPr>
          <w:rFonts w:ascii="Times New Roman" w:hAnsi="Times New Roman" w:cs="Times New Roman"/>
        </w:rPr>
        <w:t xml:space="preserve"> Publishing, 2022. </w:t>
      </w:r>
      <w:hyperlink r:id="rId15" w:history="1">
        <w:r w:rsidR="00E97863" w:rsidRPr="00B751B2">
          <w:rPr>
            <w:rStyle w:val="Hyperlink"/>
            <w:rFonts w:ascii="Times New Roman" w:hAnsi="Times New Roman" w:cs="Times New Roman"/>
            <w:color w:val="auto"/>
          </w:rPr>
          <w:t>http://www.ncbi.nlm.nih.gov/books/NBK560615/</w:t>
        </w:r>
      </w:hyperlink>
      <w:r w:rsidR="00E97863" w:rsidRPr="00B751B2">
        <w:rPr>
          <w:rFonts w:ascii="Times New Roman" w:hAnsi="Times New Roman" w:cs="Times New Roman"/>
        </w:rPr>
        <w:t>.</w:t>
      </w:r>
    </w:p>
    <w:p w14:paraId="1C6C60E9" w14:textId="77777777" w:rsidR="001D29AD" w:rsidRPr="00B751B2" w:rsidRDefault="001D29AD" w:rsidP="000B670B">
      <w:pPr>
        <w:ind w:hanging="480"/>
        <w:rPr>
          <w:rFonts w:ascii="Times New Roman" w:hAnsi="Times New Roman" w:cs="Times New Roman"/>
        </w:rPr>
      </w:pPr>
    </w:p>
    <w:p w14:paraId="04CE7941" w14:textId="6432B046" w:rsidR="001D29AD" w:rsidRPr="00E73B18" w:rsidRDefault="001D29AD" w:rsidP="00E73B18">
      <w:pPr>
        <w:pStyle w:val="EndNoteBibliography"/>
        <w:rPr>
          <w:rFonts w:ascii="Times New Roman" w:hAnsi="Times New Roman" w:cs="Times New Roman"/>
        </w:rPr>
      </w:pPr>
    </w:p>
    <w:sectPr w:rsidR="001D29AD" w:rsidRPr="00E73B18" w:rsidSect="005C35E9">
      <w:pgSz w:w="16838" w:h="11906" w:orient="landscape"/>
      <w:pgMar w:top="1440" w:right="1440" w:bottom="1440" w:left="1440" w:header="850" w:footer="99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95F6" w14:textId="77777777" w:rsidR="007477EC" w:rsidRDefault="007477EC" w:rsidP="00FF35E7">
      <w:r>
        <w:separator/>
      </w:r>
    </w:p>
  </w:endnote>
  <w:endnote w:type="continuationSeparator" w:id="0">
    <w:p w14:paraId="1A90F468" w14:textId="77777777" w:rsidR="007477EC" w:rsidRDefault="007477EC" w:rsidP="00FF35E7">
      <w:r>
        <w:continuationSeparator/>
      </w:r>
    </w:p>
  </w:endnote>
  <w:endnote w:type="continuationNotice" w:id="1">
    <w:p w14:paraId="140424B1" w14:textId="77777777" w:rsidR="007477EC" w:rsidRDefault="00747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E6EE" w14:textId="77777777" w:rsidR="007477EC" w:rsidRDefault="007477EC" w:rsidP="00FF35E7">
      <w:r>
        <w:separator/>
      </w:r>
    </w:p>
  </w:footnote>
  <w:footnote w:type="continuationSeparator" w:id="0">
    <w:p w14:paraId="6C99D1FC" w14:textId="77777777" w:rsidR="007477EC" w:rsidRDefault="007477EC" w:rsidP="00FF35E7">
      <w:r>
        <w:continuationSeparator/>
      </w:r>
    </w:p>
  </w:footnote>
  <w:footnote w:type="continuationNotice" w:id="1">
    <w:p w14:paraId="46AA5E00" w14:textId="77777777" w:rsidR="007477EC" w:rsidRDefault="00747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EB9"/>
    <w:rsid w:val="00066FB8"/>
    <w:rsid w:val="00071F21"/>
    <w:rsid w:val="00073598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35E9"/>
    <w:rsid w:val="005C486F"/>
    <w:rsid w:val="005C4AF1"/>
    <w:rsid w:val="005C502D"/>
    <w:rsid w:val="005C55A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477EC"/>
    <w:rsid w:val="00750850"/>
    <w:rsid w:val="00751CCF"/>
    <w:rsid w:val="00755F77"/>
    <w:rsid w:val="00761CFB"/>
    <w:rsid w:val="00761D50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624F"/>
    <w:rsid w:val="00856C05"/>
    <w:rsid w:val="00856DA1"/>
    <w:rsid w:val="00857337"/>
    <w:rsid w:val="00860120"/>
    <w:rsid w:val="008601DF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A32"/>
    <w:rsid w:val="00AA7B84"/>
    <w:rsid w:val="00AA7D77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0431"/>
    <w:rsid w:val="00BD568B"/>
    <w:rsid w:val="00BD6B68"/>
    <w:rsid w:val="00BD71EA"/>
    <w:rsid w:val="00BD759A"/>
    <w:rsid w:val="00BE07A4"/>
    <w:rsid w:val="00BE0840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D001F8"/>
    <w:rsid w:val="00D02465"/>
    <w:rsid w:val="00D02E45"/>
    <w:rsid w:val="00D03251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3B18"/>
    <w:rsid w:val="00E75878"/>
    <w:rsid w:val="00E75B05"/>
    <w:rsid w:val="00E75B16"/>
    <w:rsid w:val="00E80B93"/>
    <w:rsid w:val="00E827D5"/>
    <w:rsid w:val="00E82C1A"/>
    <w:rsid w:val="00E834B8"/>
    <w:rsid w:val="00E843EA"/>
    <w:rsid w:val="00E8478B"/>
    <w:rsid w:val="00E85AEB"/>
    <w:rsid w:val="00E86171"/>
    <w:rsid w:val="00E91045"/>
    <w:rsid w:val="00E9119B"/>
    <w:rsid w:val="00E92D2F"/>
    <w:rsid w:val="00E93066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2CF4"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35E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35E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9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912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1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EA"/>
    <w:rPr>
      <w:b/>
      <w:bCs/>
    </w:rPr>
  </w:style>
  <w:style w:type="character" w:styleId="Strong">
    <w:name w:val="Strong"/>
    <w:basedOn w:val="DefaultParagraphFont"/>
    <w:uiPriority w:val="22"/>
    <w:qFormat/>
    <w:rsid w:val="00CD5DA1"/>
    <w:rPr>
      <w:b/>
      <w:bCs/>
    </w:rPr>
  </w:style>
  <w:style w:type="paragraph" w:styleId="Revision">
    <w:name w:val="Revision"/>
    <w:hidden/>
    <w:uiPriority w:val="99"/>
    <w:semiHidden/>
    <w:rsid w:val="00D343FF"/>
  </w:style>
  <w:style w:type="character" w:customStyle="1" w:styleId="Heading1Char">
    <w:name w:val="Heading 1 Char"/>
    <w:basedOn w:val="DefaultParagraphFont"/>
    <w:link w:val="Heading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Normal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Heading1"/>
    <w:link w:val="TablesFiguresChar"/>
    <w:rsid w:val="003C025B"/>
    <w:rPr>
      <w:b w:val="0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Subtitle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025B"/>
  </w:style>
  <w:style w:type="character" w:styleId="UnresolvedMention">
    <w:name w:val="Unresolved Mention"/>
    <w:basedOn w:val="DefaultParagraphFont"/>
    <w:uiPriority w:val="99"/>
    <w:rsid w:val="003C02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025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025B"/>
    <w:rPr>
      <w:color w:val="808080"/>
    </w:rPr>
  </w:style>
  <w:style w:type="character" w:styleId="Emphasis">
    <w:name w:val="Emphasis"/>
    <w:basedOn w:val="DefaultParagraphFont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DefaultParagraphFont"/>
    <w:rsid w:val="00572CE7"/>
  </w:style>
  <w:style w:type="character" w:styleId="LineNumber">
    <w:name w:val="line number"/>
    <w:basedOn w:val="DefaultParagraphFont"/>
    <w:uiPriority w:val="99"/>
    <w:semiHidden/>
    <w:unhideWhenUsed/>
    <w:rsid w:val="000D1D70"/>
  </w:style>
  <w:style w:type="character" w:customStyle="1" w:styleId="mixed-citation">
    <w:name w:val="mixed-citation"/>
    <w:basedOn w:val="DefaultParagraphFont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050312119843700" TargetMode="External"/><Relationship Id="rId13" Type="http://schemas.openxmlformats.org/officeDocument/2006/relationships/hyperlink" Target="https://doi.org/10.1016/j.ajog.2020.03.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bpobgyn.2011.01.0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eclampsia.org/frontend/assets/img/advocacy_resource/Gestational_Hypertension_and_Preeclampsia_ACOG_Practice_Bulletin,_Number_222_16054480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books/NBK560615/" TargetMode="External"/><Relationship Id="rId10" Type="http://schemas.openxmlformats.org/officeDocument/2006/relationships/hyperlink" Target="https://doi.org/10.1161/CIRCULATIONAHA.113.003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.pone.0175914" TargetMode="External"/><Relationship Id="rId14" Type="http://schemas.openxmlformats.org/officeDocument/2006/relationships/hyperlink" Target="https://doi.org/10.1038/ajh.2011.17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6598-A02D-42B4-9196-2542AD12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Livia Rodriguez-Horvath</cp:lastModifiedBy>
  <cp:revision>375</cp:revision>
  <dcterms:created xsi:type="dcterms:W3CDTF">2023-07-27T08:48:00Z</dcterms:created>
  <dcterms:modified xsi:type="dcterms:W3CDTF">2024-04-15T13:00:00Z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