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A123" w14:textId="54BAB8F1" w:rsidR="003760E0" w:rsidRPr="005E2A0F" w:rsidRDefault="003760E0" w:rsidP="001D49AF">
      <w:pPr>
        <w:spacing w:after="0" w:line="480" w:lineRule="auto"/>
        <w:jc w:val="both"/>
        <w:rPr>
          <w:rFonts w:ascii="Times New Roman" w:hAnsi="Times New Roman" w:cs="Times New Roman"/>
          <w:b/>
          <w:bCs/>
        </w:rPr>
      </w:pPr>
      <w:bookmarkStart w:id="0" w:name="_Ref125913582"/>
      <w:bookmarkStart w:id="1" w:name="_Ref125913553"/>
      <w:bookmarkStart w:id="2" w:name="_Ref125959881"/>
      <w:r w:rsidRPr="005E2A0F">
        <w:rPr>
          <w:rFonts w:ascii="Times New Roman" w:hAnsi="Times New Roman" w:cs="Times New Roman"/>
          <w:b/>
          <w:bCs/>
        </w:rPr>
        <w:t>S</w:t>
      </w:r>
      <w:r w:rsidR="00E67772">
        <w:rPr>
          <w:rFonts w:ascii="Times New Roman" w:hAnsi="Times New Roman" w:cs="Times New Roman"/>
          <w:b/>
          <w:bCs/>
        </w:rPr>
        <w:t>2</w:t>
      </w:r>
      <w:r w:rsidRPr="005E2A0F">
        <w:rPr>
          <w:rFonts w:ascii="Times New Roman" w:hAnsi="Times New Roman" w:cs="Times New Roman"/>
          <w:b/>
          <w:bCs/>
        </w:rPr>
        <w:t xml:space="preserve"> Table</w:t>
      </w:r>
      <w:bookmarkEnd w:id="2"/>
      <w:r w:rsidRPr="005E2A0F">
        <w:rPr>
          <w:rFonts w:ascii="Times New Roman" w:hAnsi="Times New Roman" w:cs="Times New Roman"/>
          <w:b/>
          <w:bCs/>
        </w:rPr>
        <w:t xml:space="preserve">. ATC codes </w:t>
      </w:r>
      <w:r w:rsidR="007D3319" w:rsidRPr="005E2A0F">
        <w:rPr>
          <w:rFonts w:ascii="Times New Roman" w:hAnsi="Times New Roman" w:cs="Times New Roman"/>
          <w:b/>
          <w:bCs/>
        </w:rPr>
        <w:t xml:space="preserve">for </w:t>
      </w:r>
      <w:r w:rsidRPr="005E2A0F">
        <w:rPr>
          <w:rFonts w:ascii="Times New Roman" w:hAnsi="Times New Roman" w:cs="Times New Roman"/>
          <w:b/>
          <w:bCs/>
        </w:rPr>
        <w:t>pre-defined</w:t>
      </w:r>
      <w:r w:rsidR="007D3319" w:rsidRPr="005E2A0F">
        <w:rPr>
          <w:rFonts w:ascii="Times New Roman" w:hAnsi="Times New Roman" w:cs="Times New Roman"/>
          <w:b/>
          <w:bCs/>
        </w:rPr>
        <w:t xml:space="preserve"> psychotropic</w:t>
      </w:r>
      <w:r w:rsidRPr="005E2A0F">
        <w:rPr>
          <w:rFonts w:ascii="Times New Roman" w:hAnsi="Times New Roman" w:cs="Times New Roman"/>
          <w:b/>
          <w:bCs/>
        </w:rPr>
        <w:t xml:space="preserve"> medication</w:t>
      </w:r>
      <w:r w:rsidR="007D3319" w:rsidRPr="005E2A0F">
        <w:rPr>
          <w:rFonts w:ascii="Times New Roman" w:hAnsi="Times New Roman" w:cs="Times New Roman"/>
          <w:b/>
          <w:bCs/>
        </w:rPr>
        <w:t>s</w:t>
      </w:r>
    </w:p>
    <w:tbl>
      <w:tblPr>
        <w:tblStyle w:val="PlainTable4"/>
        <w:tblW w:w="7380" w:type="dxa"/>
        <w:tblCellMar>
          <w:left w:w="14" w:type="dxa"/>
          <w:right w:w="14" w:type="dxa"/>
        </w:tblCellMar>
        <w:tblLook w:val="04A0" w:firstRow="1" w:lastRow="0" w:firstColumn="1" w:lastColumn="0" w:noHBand="0" w:noVBand="1"/>
      </w:tblPr>
      <w:tblGrid>
        <w:gridCol w:w="4220"/>
        <w:gridCol w:w="3160"/>
      </w:tblGrid>
      <w:tr w:rsidR="003760E0" w:rsidRPr="00F84E9D" w14:paraId="70231FA9" w14:textId="77777777" w:rsidTr="00895001">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bottom w:val="single" w:sz="4" w:space="0" w:color="auto"/>
            </w:tcBorders>
            <w:shd w:val="clear" w:color="auto" w:fill="auto"/>
            <w:noWrap/>
            <w:vAlign w:val="center"/>
            <w:hideMark/>
          </w:tcPr>
          <w:p w14:paraId="4C2493FB" w14:textId="41B9FB23" w:rsidR="003760E0" w:rsidRPr="00F84E9D" w:rsidRDefault="0069754D" w:rsidP="001D49AF">
            <w:pPr>
              <w:spacing w:line="480" w:lineRule="auto"/>
              <w:jc w:val="both"/>
              <w:rPr>
                <w:rFonts w:eastAsia="Times New Roman"/>
              </w:rPr>
            </w:pPr>
            <w:r w:rsidRPr="00F84E9D">
              <w:rPr>
                <w:rFonts w:eastAsia="Times New Roman"/>
              </w:rPr>
              <w:t>Psychotropic medication</w:t>
            </w:r>
          </w:p>
        </w:tc>
        <w:tc>
          <w:tcPr>
            <w:tcW w:w="3160" w:type="dxa"/>
            <w:tcBorders>
              <w:top w:val="single" w:sz="4" w:space="0" w:color="auto"/>
              <w:bottom w:val="single" w:sz="4" w:space="0" w:color="auto"/>
            </w:tcBorders>
            <w:shd w:val="clear" w:color="auto" w:fill="auto"/>
            <w:vAlign w:val="center"/>
            <w:hideMark/>
          </w:tcPr>
          <w:p w14:paraId="324DDCFA" w14:textId="77777777" w:rsidR="003760E0" w:rsidRPr="00F84E9D" w:rsidRDefault="003760E0" w:rsidP="001D49AF">
            <w:pPr>
              <w:spacing w:line="480" w:lineRule="auto"/>
              <w:jc w:val="both"/>
              <w:cnfStyle w:val="100000000000" w:firstRow="1" w:lastRow="0" w:firstColumn="0" w:lastColumn="0" w:oddVBand="0" w:evenVBand="0" w:oddHBand="0" w:evenHBand="0" w:firstRowFirstColumn="0" w:firstRowLastColumn="0" w:lastRowFirstColumn="0" w:lastRowLastColumn="0"/>
              <w:rPr>
                <w:rFonts w:eastAsia="Times New Roman"/>
              </w:rPr>
            </w:pPr>
            <w:r w:rsidRPr="00F84E9D">
              <w:rPr>
                <w:rFonts w:eastAsia="Times New Roman"/>
              </w:rPr>
              <w:t>ATC</w:t>
            </w:r>
          </w:p>
        </w:tc>
      </w:tr>
      <w:tr w:rsidR="003760E0" w:rsidRPr="00F84E9D" w14:paraId="7D32144C" w14:textId="77777777" w:rsidTr="009B4D1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tcBorders>
              <w:top w:val="single" w:sz="4" w:space="0" w:color="auto"/>
            </w:tcBorders>
            <w:shd w:val="clear" w:color="auto" w:fill="D9D9D9" w:themeFill="background1" w:themeFillShade="D9"/>
            <w:noWrap/>
            <w:vAlign w:val="center"/>
          </w:tcPr>
          <w:p w14:paraId="0E82831E" w14:textId="4D35744B" w:rsidR="003760E0" w:rsidRPr="00F84E9D" w:rsidRDefault="003760E0" w:rsidP="001D49AF">
            <w:pPr>
              <w:spacing w:line="480" w:lineRule="auto"/>
              <w:jc w:val="both"/>
              <w:rPr>
                <w:rFonts w:eastAsia="Times New Roman"/>
                <w:i/>
                <w:iCs/>
                <w:color w:val="000000"/>
              </w:rPr>
            </w:pPr>
            <w:r w:rsidRPr="00F84E9D">
              <w:rPr>
                <w:rFonts w:eastAsia="Times New Roman"/>
                <w:i/>
                <w:iCs/>
                <w:color w:val="000000"/>
              </w:rPr>
              <w:t xml:space="preserve">Any </w:t>
            </w:r>
            <w:r w:rsidR="0069754D" w:rsidRPr="00F84E9D">
              <w:rPr>
                <w:rFonts w:eastAsia="Times New Roman"/>
                <w:i/>
                <w:iCs/>
                <w:color w:val="000000"/>
              </w:rPr>
              <w:t>psychotropic medication</w:t>
            </w:r>
          </w:p>
        </w:tc>
        <w:tc>
          <w:tcPr>
            <w:tcW w:w="3160" w:type="dxa"/>
            <w:tcBorders>
              <w:top w:val="single" w:sz="4" w:space="0" w:color="auto"/>
            </w:tcBorders>
            <w:shd w:val="clear" w:color="auto" w:fill="D9D9D9" w:themeFill="background1" w:themeFillShade="D9"/>
            <w:vAlign w:val="center"/>
          </w:tcPr>
          <w:p w14:paraId="3FECDEF4" w14:textId="77777777" w:rsidR="003760E0" w:rsidRPr="00F84E9D" w:rsidRDefault="003760E0" w:rsidP="001D49AF">
            <w:pPr>
              <w:spacing w:line="48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84E9D">
              <w:rPr>
                <w:rFonts w:eastAsia="Times New Roman"/>
                <w:color w:val="000000"/>
              </w:rPr>
              <w:t>N06A*, N05B*, N05C*, N05A*</w:t>
            </w:r>
          </w:p>
        </w:tc>
      </w:tr>
      <w:tr w:rsidR="003760E0" w:rsidRPr="00F84E9D" w14:paraId="32C4B381" w14:textId="77777777" w:rsidTr="009B4D18">
        <w:trPr>
          <w:trHeight w:val="418"/>
        </w:trPr>
        <w:tc>
          <w:tcPr>
            <w:cnfStyle w:val="001000000000" w:firstRow="0" w:lastRow="0" w:firstColumn="1" w:lastColumn="0" w:oddVBand="0" w:evenVBand="0" w:oddHBand="0" w:evenHBand="0" w:firstRowFirstColumn="0" w:firstRowLastColumn="0" w:lastRowFirstColumn="0" w:lastRowLastColumn="0"/>
            <w:tcW w:w="4220" w:type="dxa"/>
            <w:shd w:val="clear" w:color="auto" w:fill="FFFFFF" w:themeFill="background1"/>
            <w:noWrap/>
            <w:vAlign w:val="center"/>
            <w:hideMark/>
          </w:tcPr>
          <w:p w14:paraId="100691D4" w14:textId="754E3AAD" w:rsidR="003760E0" w:rsidRPr="00F84E9D" w:rsidRDefault="003760E0" w:rsidP="001D49AF">
            <w:pPr>
              <w:spacing w:line="480" w:lineRule="auto"/>
              <w:jc w:val="both"/>
              <w:rPr>
                <w:rFonts w:eastAsia="Times New Roman"/>
                <w:b w:val="0"/>
                <w:bCs w:val="0"/>
                <w:color w:val="000000"/>
              </w:rPr>
            </w:pPr>
            <w:r w:rsidRPr="00F84E9D">
              <w:rPr>
                <w:rFonts w:eastAsia="Times New Roman"/>
                <w:b w:val="0"/>
                <w:bCs w:val="0"/>
                <w:color w:val="000000"/>
              </w:rPr>
              <w:t>Antidepressant</w:t>
            </w:r>
            <w:r w:rsidR="00F1330F" w:rsidRPr="00F84E9D">
              <w:rPr>
                <w:rFonts w:eastAsia="Times New Roman"/>
                <w:b w:val="0"/>
                <w:bCs w:val="0"/>
                <w:color w:val="000000"/>
              </w:rPr>
              <w:t>s</w:t>
            </w:r>
            <w:r w:rsidRPr="00F84E9D">
              <w:rPr>
                <w:rFonts w:eastAsia="Times New Roman"/>
                <w:b w:val="0"/>
                <w:bCs w:val="0"/>
                <w:color w:val="000000"/>
              </w:rPr>
              <w:t xml:space="preserve"> </w:t>
            </w:r>
          </w:p>
        </w:tc>
        <w:tc>
          <w:tcPr>
            <w:tcW w:w="3160" w:type="dxa"/>
            <w:shd w:val="clear" w:color="auto" w:fill="FFFFFF" w:themeFill="background1"/>
            <w:vAlign w:val="center"/>
            <w:hideMark/>
          </w:tcPr>
          <w:p w14:paraId="67152F4E" w14:textId="77777777" w:rsidR="003760E0" w:rsidRPr="00F84E9D" w:rsidRDefault="003760E0" w:rsidP="001D49AF">
            <w:pPr>
              <w:spacing w:line="48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84E9D">
              <w:rPr>
                <w:rFonts w:eastAsia="Times New Roman"/>
                <w:color w:val="000000"/>
              </w:rPr>
              <w:t>N06A*</w:t>
            </w:r>
          </w:p>
        </w:tc>
      </w:tr>
      <w:tr w:rsidR="003760E0" w:rsidRPr="00F84E9D" w14:paraId="6DBBD1E7" w14:textId="77777777" w:rsidTr="009B4D1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shd w:val="clear" w:color="auto" w:fill="FFFFFF" w:themeFill="background1"/>
            <w:noWrap/>
            <w:vAlign w:val="center"/>
            <w:hideMark/>
          </w:tcPr>
          <w:p w14:paraId="3F27327B" w14:textId="0667929F" w:rsidR="003760E0" w:rsidRPr="00F84E9D" w:rsidRDefault="003760E0" w:rsidP="001D49AF">
            <w:pPr>
              <w:spacing w:line="480" w:lineRule="auto"/>
              <w:jc w:val="both"/>
              <w:rPr>
                <w:rFonts w:eastAsia="Times New Roman"/>
                <w:b w:val="0"/>
                <w:bCs w:val="0"/>
                <w:color w:val="000000"/>
              </w:rPr>
            </w:pPr>
            <w:r w:rsidRPr="00F84E9D">
              <w:rPr>
                <w:rFonts w:eastAsia="Times New Roman"/>
                <w:b w:val="0"/>
                <w:bCs w:val="0"/>
                <w:color w:val="000000"/>
              </w:rPr>
              <w:t xml:space="preserve">Anxiolytics </w:t>
            </w:r>
          </w:p>
        </w:tc>
        <w:tc>
          <w:tcPr>
            <w:tcW w:w="3160" w:type="dxa"/>
            <w:shd w:val="clear" w:color="auto" w:fill="FFFFFF" w:themeFill="background1"/>
            <w:vAlign w:val="center"/>
            <w:hideMark/>
          </w:tcPr>
          <w:p w14:paraId="5DC8719F" w14:textId="77777777" w:rsidR="003760E0" w:rsidRPr="00F84E9D" w:rsidRDefault="003760E0" w:rsidP="001D49AF">
            <w:pPr>
              <w:spacing w:line="48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84E9D">
              <w:rPr>
                <w:rFonts w:eastAsia="Times New Roman"/>
                <w:color w:val="000000"/>
              </w:rPr>
              <w:t>N05B*</w:t>
            </w:r>
          </w:p>
        </w:tc>
      </w:tr>
      <w:tr w:rsidR="003760E0" w:rsidRPr="00F84E9D" w14:paraId="2B467F8A" w14:textId="77777777" w:rsidTr="009B4D18">
        <w:trPr>
          <w:trHeight w:val="418"/>
        </w:trPr>
        <w:tc>
          <w:tcPr>
            <w:cnfStyle w:val="001000000000" w:firstRow="0" w:lastRow="0" w:firstColumn="1" w:lastColumn="0" w:oddVBand="0" w:evenVBand="0" w:oddHBand="0" w:evenHBand="0" w:firstRowFirstColumn="0" w:firstRowLastColumn="0" w:lastRowFirstColumn="0" w:lastRowLastColumn="0"/>
            <w:tcW w:w="4220" w:type="dxa"/>
            <w:shd w:val="clear" w:color="auto" w:fill="FFFFFF" w:themeFill="background1"/>
            <w:noWrap/>
            <w:vAlign w:val="center"/>
            <w:hideMark/>
          </w:tcPr>
          <w:p w14:paraId="59706F65" w14:textId="4E7096C8" w:rsidR="003760E0" w:rsidRPr="00F84E9D" w:rsidRDefault="003760E0" w:rsidP="001D49AF">
            <w:pPr>
              <w:spacing w:line="480" w:lineRule="auto"/>
              <w:jc w:val="both"/>
              <w:rPr>
                <w:rFonts w:eastAsia="Times New Roman"/>
                <w:b w:val="0"/>
                <w:bCs w:val="0"/>
                <w:color w:val="000000"/>
              </w:rPr>
            </w:pPr>
            <w:r w:rsidRPr="00F84E9D">
              <w:rPr>
                <w:rFonts w:eastAsia="Times New Roman"/>
                <w:b w:val="0"/>
                <w:bCs w:val="0"/>
                <w:color w:val="000000"/>
              </w:rPr>
              <w:t xml:space="preserve">Hypnotics and sedatives </w:t>
            </w:r>
          </w:p>
        </w:tc>
        <w:tc>
          <w:tcPr>
            <w:tcW w:w="3160" w:type="dxa"/>
            <w:shd w:val="clear" w:color="auto" w:fill="FFFFFF" w:themeFill="background1"/>
            <w:vAlign w:val="center"/>
            <w:hideMark/>
          </w:tcPr>
          <w:p w14:paraId="496E65DC" w14:textId="77777777" w:rsidR="003760E0" w:rsidRPr="00F84E9D" w:rsidRDefault="003760E0" w:rsidP="001D49AF">
            <w:pPr>
              <w:spacing w:line="480" w:lineRule="auto"/>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F84E9D">
              <w:rPr>
                <w:rFonts w:eastAsia="Times New Roman"/>
                <w:color w:val="000000"/>
              </w:rPr>
              <w:t>N05C*</w:t>
            </w:r>
          </w:p>
        </w:tc>
      </w:tr>
      <w:tr w:rsidR="003760E0" w:rsidRPr="00F84E9D" w14:paraId="219DA8B1" w14:textId="77777777" w:rsidTr="009B4D18">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220" w:type="dxa"/>
            <w:tcBorders>
              <w:bottom w:val="single" w:sz="4" w:space="0" w:color="auto"/>
            </w:tcBorders>
            <w:shd w:val="clear" w:color="auto" w:fill="FFFFFF" w:themeFill="background1"/>
            <w:noWrap/>
            <w:vAlign w:val="center"/>
            <w:hideMark/>
          </w:tcPr>
          <w:p w14:paraId="4A97AA13" w14:textId="50555943" w:rsidR="003760E0" w:rsidRPr="00F84E9D" w:rsidRDefault="003760E0" w:rsidP="001D49AF">
            <w:pPr>
              <w:spacing w:line="480" w:lineRule="auto"/>
              <w:jc w:val="both"/>
              <w:rPr>
                <w:rFonts w:eastAsia="Times New Roman"/>
                <w:b w:val="0"/>
                <w:bCs w:val="0"/>
                <w:color w:val="000000"/>
              </w:rPr>
            </w:pPr>
            <w:r w:rsidRPr="00F84E9D">
              <w:rPr>
                <w:rFonts w:eastAsia="Times New Roman"/>
                <w:b w:val="0"/>
                <w:bCs w:val="0"/>
                <w:color w:val="000000"/>
              </w:rPr>
              <w:t xml:space="preserve">Antipsychotics </w:t>
            </w:r>
          </w:p>
        </w:tc>
        <w:tc>
          <w:tcPr>
            <w:tcW w:w="3160" w:type="dxa"/>
            <w:tcBorders>
              <w:bottom w:val="single" w:sz="4" w:space="0" w:color="auto"/>
            </w:tcBorders>
            <w:shd w:val="clear" w:color="auto" w:fill="FFFFFF" w:themeFill="background1"/>
            <w:vAlign w:val="center"/>
            <w:hideMark/>
          </w:tcPr>
          <w:p w14:paraId="376465AE" w14:textId="77777777" w:rsidR="003760E0" w:rsidRPr="00F84E9D" w:rsidRDefault="003760E0" w:rsidP="001D49AF">
            <w:pPr>
              <w:spacing w:line="48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84E9D">
              <w:rPr>
                <w:rFonts w:eastAsia="Times New Roman"/>
                <w:color w:val="000000"/>
              </w:rPr>
              <w:t>N05A*</w:t>
            </w:r>
          </w:p>
        </w:tc>
      </w:tr>
    </w:tbl>
    <w:p w14:paraId="64B7502E" w14:textId="77777777" w:rsidR="007A2FEC" w:rsidRDefault="007A2FEC" w:rsidP="001D49AF">
      <w:pPr>
        <w:spacing w:after="0" w:line="480" w:lineRule="auto"/>
        <w:jc w:val="both"/>
        <w:rPr>
          <w:rFonts w:ascii="Times New Roman" w:hAnsi="Times New Roman" w:cs="Times New Roman"/>
        </w:rPr>
      </w:pPr>
      <w:bookmarkStart w:id="3" w:name="_Ref125913494"/>
      <w:bookmarkStart w:id="4" w:name="_Ref125913531"/>
    </w:p>
    <w:bookmarkEnd w:id="3"/>
    <w:bookmarkEnd w:id="4"/>
    <w:bookmarkEnd w:id="0"/>
    <w:bookmarkEnd w:id="1"/>
    <w:sectPr w:rsidR="007A2FEC"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tawFAHyI4wg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772"/>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39</Words>
  <Characters>207</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28</cp:revision>
  <cp:lastPrinted>2023-08-16T11:21:00Z</cp:lastPrinted>
  <dcterms:created xsi:type="dcterms:W3CDTF">2023-11-09T19:25:00Z</dcterms:created>
  <dcterms:modified xsi:type="dcterms:W3CDTF">2024-03-09T09:43:00Z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