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2427" w14:textId="599B5A93" w:rsidR="00C5189A" w:rsidRPr="00986AA1" w:rsidRDefault="003760E0" w:rsidP="001D49AF">
      <w:pPr>
        <w:spacing w:after="0" w:line="480" w:lineRule="auto"/>
        <w:jc w:val="both"/>
        <w:rPr>
          <w:rFonts w:ascii="Times New Roman" w:hAnsi="Times New Roman" w:cs="Times New Roman"/>
          <w:b/>
          <w:bCs/>
        </w:rPr>
      </w:pPr>
      <w:bookmarkStart w:id="0" w:name="_Ref125959872"/>
      <w:r w:rsidRPr="00986AA1">
        <w:rPr>
          <w:rFonts w:ascii="Times New Roman" w:hAnsi="Times New Roman" w:cs="Times New Roman"/>
          <w:b/>
          <w:bCs/>
        </w:rPr>
        <w:t>S</w:t>
      </w:r>
      <w:r w:rsidR="0095768E" w:rsidRPr="00986AA1">
        <w:rPr>
          <w:rFonts w:ascii="Times New Roman" w:hAnsi="Times New Roman" w:cs="Times New Roman"/>
          <w:b/>
          <w:bCs/>
        </w:rPr>
        <w:t>1</w:t>
      </w:r>
      <w:r w:rsidRPr="00986AA1">
        <w:rPr>
          <w:rFonts w:ascii="Times New Roman" w:hAnsi="Times New Roman" w:cs="Times New Roman"/>
          <w:b/>
          <w:bCs/>
        </w:rPr>
        <w:t xml:space="preserve"> Table</w:t>
      </w:r>
      <w:bookmarkEnd w:id="0"/>
      <w:r w:rsidRPr="00986AA1">
        <w:rPr>
          <w:rFonts w:ascii="Times New Roman" w:hAnsi="Times New Roman" w:cs="Times New Roman"/>
          <w:b/>
          <w:bCs/>
        </w:rPr>
        <w:t xml:space="preserve">. </w:t>
      </w:r>
      <w:bookmarkStart w:id="1" w:name="_Toc124425910"/>
      <w:bookmarkStart w:id="2" w:name="_Ref125913582"/>
      <w:bookmarkStart w:id="3" w:name="_Ref125913553"/>
      <w:r w:rsidR="00C5189A" w:rsidRPr="00986AA1">
        <w:rPr>
          <w:rFonts w:ascii="Times New Roman" w:hAnsi="Times New Roman" w:cs="Times New Roman"/>
          <w:b/>
          <w:bCs/>
        </w:rPr>
        <w:t xml:space="preserve">International Classification of Diseases (ICD) codes for </w:t>
      </w:r>
      <w:r w:rsidR="00A92525" w:rsidRPr="00986AA1">
        <w:rPr>
          <w:rFonts w:ascii="Times New Roman" w:hAnsi="Times New Roman" w:cs="Times New Roman"/>
          <w:b/>
          <w:bCs/>
        </w:rPr>
        <w:t xml:space="preserve">pre-defined </w:t>
      </w:r>
      <w:r w:rsidR="009B4D18" w:rsidRPr="00986AA1">
        <w:rPr>
          <w:rFonts w:ascii="Times New Roman" w:hAnsi="Times New Roman" w:cs="Times New Roman"/>
          <w:b/>
          <w:bCs/>
        </w:rPr>
        <w:t>mental disorders</w:t>
      </w:r>
      <w:bookmarkEnd w:id="1"/>
      <w:r w:rsidR="00C5189A" w:rsidRPr="00986AA1">
        <w:rPr>
          <w:rFonts w:ascii="Times New Roman" w:hAnsi="Times New Roman" w:cs="Times New Roman"/>
          <w:b/>
          <w:bCs/>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3748"/>
        <w:gridCol w:w="1627"/>
        <w:gridCol w:w="2032"/>
        <w:gridCol w:w="1665"/>
      </w:tblGrid>
      <w:tr w:rsidR="00437B5A" w:rsidRPr="00F84E9D" w14:paraId="45765BA1" w14:textId="77777777" w:rsidTr="00F84E9D">
        <w:trPr>
          <w:trHeight w:val="247"/>
        </w:trPr>
        <w:tc>
          <w:tcPr>
            <w:tcW w:w="0" w:type="auto"/>
            <w:tcBorders>
              <w:top w:val="single" w:sz="4" w:space="0" w:color="auto"/>
              <w:left w:val="nil"/>
              <w:bottom w:val="single" w:sz="4" w:space="0" w:color="auto"/>
              <w:right w:val="nil"/>
            </w:tcBorders>
            <w:hideMark/>
          </w:tcPr>
          <w:p w14:paraId="336AD824" w14:textId="77777777" w:rsidR="00C5189A" w:rsidRPr="00F84E9D" w:rsidRDefault="00C5189A" w:rsidP="001D49AF">
            <w:pPr>
              <w:adjustRightInd w:val="0"/>
              <w:snapToGrid w:val="0"/>
              <w:spacing w:after="0" w:line="480" w:lineRule="auto"/>
              <w:rPr>
                <w:rFonts w:ascii="Times New Roman" w:hAnsi="Times New Roman" w:cs="Times New Roman"/>
                <w:b/>
                <w:sz w:val="20"/>
                <w:szCs w:val="20"/>
              </w:rPr>
            </w:pPr>
            <w:r w:rsidRPr="00F84E9D">
              <w:rPr>
                <w:rFonts w:ascii="Times New Roman" w:hAnsi="Times New Roman" w:cs="Times New Roman"/>
                <w:b/>
                <w:sz w:val="20"/>
                <w:szCs w:val="20"/>
              </w:rPr>
              <w:t>Category</w:t>
            </w:r>
          </w:p>
        </w:tc>
        <w:tc>
          <w:tcPr>
            <w:tcW w:w="0" w:type="auto"/>
            <w:tcBorders>
              <w:top w:val="single" w:sz="4" w:space="0" w:color="auto"/>
              <w:left w:val="nil"/>
              <w:bottom w:val="single" w:sz="4" w:space="0" w:color="auto"/>
              <w:right w:val="nil"/>
            </w:tcBorders>
            <w:vAlign w:val="center"/>
            <w:hideMark/>
          </w:tcPr>
          <w:p w14:paraId="24F2AD1B" w14:textId="77777777" w:rsidR="00C5189A" w:rsidRPr="00F84E9D" w:rsidRDefault="00C5189A" w:rsidP="001D49AF">
            <w:pPr>
              <w:adjustRightInd w:val="0"/>
              <w:snapToGrid w:val="0"/>
              <w:spacing w:after="0" w:line="480" w:lineRule="auto"/>
              <w:rPr>
                <w:rFonts w:ascii="Times New Roman" w:hAnsi="Times New Roman" w:cs="Times New Roman"/>
                <w:sz w:val="20"/>
                <w:szCs w:val="20"/>
              </w:rPr>
            </w:pPr>
            <w:r w:rsidRPr="00F84E9D">
              <w:rPr>
                <w:rFonts w:ascii="Times New Roman" w:hAnsi="Times New Roman" w:cs="Times New Roman"/>
                <w:b/>
                <w:bCs/>
                <w:sz w:val="20"/>
                <w:szCs w:val="20"/>
              </w:rPr>
              <w:t>ICD-8 (1968-1986)</w:t>
            </w:r>
          </w:p>
        </w:tc>
        <w:tc>
          <w:tcPr>
            <w:tcW w:w="0" w:type="auto"/>
            <w:tcBorders>
              <w:top w:val="single" w:sz="4" w:space="0" w:color="auto"/>
              <w:left w:val="nil"/>
              <w:bottom w:val="single" w:sz="4" w:space="0" w:color="auto"/>
              <w:right w:val="nil"/>
            </w:tcBorders>
            <w:vAlign w:val="center"/>
            <w:hideMark/>
          </w:tcPr>
          <w:p w14:paraId="0CE797FD" w14:textId="77777777" w:rsidR="00C5189A" w:rsidRPr="00F84E9D" w:rsidRDefault="00C5189A" w:rsidP="001D49AF">
            <w:pPr>
              <w:adjustRightInd w:val="0"/>
              <w:snapToGrid w:val="0"/>
              <w:spacing w:after="0" w:line="480" w:lineRule="auto"/>
              <w:rPr>
                <w:rFonts w:ascii="Times New Roman" w:hAnsi="Times New Roman" w:cs="Times New Roman"/>
                <w:b/>
                <w:bCs/>
                <w:sz w:val="20"/>
                <w:szCs w:val="20"/>
              </w:rPr>
            </w:pPr>
            <w:r w:rsidRPr="00F84E9D">
              <w:rPr>
                <w:rFonts w:ascii="Times New Roman" w:hAnsi="Times New Roman" w:cs="Times New Roman"/>
                <w:b/>
                <w:sz w:val="20"/>
                <w:szCs w:val="20"/>
              </w:rPr>
              <w:t>ICD-9 (1987-1996)</w:t>
            </w:r>
          </w:p>
        </w:tc>
        <w:tc>
          <w:tcPr>
            <w:tcW w:w="0" w:type="auto"/>
            <w:tcBorders>
              <w:top w:val="single" w:sz="4" w:space="0" w:color="auto"/>
              <w:left w:val="nil"/>
              <w:bottom w:val="single" w:sz="4" w:space="0" w:color="auto"/>
              <w:right w:val="nil"/>
            </w:tcBorders>
            <w:vAlign w:val="center"/>
            <w:hideMark/>
          </w:tcPr>
          <w:p w14:paraId="2BBE7AB6" w14:textId="1F52FB0B" w:rsidR="00C5189A" w:rsidRPr="00F84E9D" w:rsidRDefault="00C5189A" w:rsidP="001D49AF">
            <w:pPr>
              <w:adjustRightInd w:val="0"/>
              <w:snapToGrid w:val="0"/>
              <w:spacing w:after="0" w:line="480" w:lineRule="auto"/>
              <w:rPr>
                <w:rFonts w:ascii="Times New Roman" w:hAnsi="Times New Roman" w:cs="Times New Roman"/>
                <w:b/>
                <w:bCs/>
                <w:sz w:val="20"/>
                <w:szCs w:val="20"/>
              </w:rPr>
            </w:pPr>
            <w:r w:rsidRPr="00F84E9D">
              <w:rPr>
                <w:rFonts w:ascii="Times New Roman" w:hAnsi="Times New Roman" w:cs="Times New Roman"/>
                <w:b/>
                <w:sz w:val="20"/>
                <w:szCs w:val="20"/>
              </w:rPr>
              <w:t>ICD-10 (1997-)</w:t>
            </w:r>
          </w:p>
        </w:tc>
      </w:tr>
      <w:tr w:rsidR="00437B5A" w:rsidRPr="00F84E9D" w14:paraId="0A2F7EB5" w14:textId="77777777" w:rsidTr="009B4D18">
        <w:trPr>
          <w:trHeight w:val="247"/>
        </w:trPr>
        <w:tc>
          <w:tcPr>
            <w:tcW w:w="0" w:type="auto"/>
            <w:tcBorders>
              <w:top w:val="single" w:sz="4" w:space="0" w:color="auto"/>
              <w:left w:val="nil"/>
              <w:bottom w:val="nil"/>
              <w:right w:val="nil"/>
            </w:tcBorders>
            <w:shd w:val="clear" w:color="auto" w:fill="auto"/>
            <w:hideMark/>
          </w:tcPr>
          <w:p w14:paraId="68A5FC36" w14:textId="0966409E" w:rsidR="00C5189A" w:rsidRPr="009B4D18" w:rsidRDefault="00A92525" w:rsidP="001D49AF">
            <w:pPr>
              <w:adjustRightInd w:val="0"/>
              <w:snapToGrid w:val="0"/>
              <w:spacing w:after="0" w:line="480" w:lineRule="auto"/>
              <w:jc w:val="both"/>
              <w:rPr>
                <w:rFonts w:ascii="Times New Roman" w:hAnsi="Times New Roman" w:cs="Times New Roman"/>
                <w:b/>
                <w:bCs/>
                <w:sz w:val="20"/>
                <w:szCs w:val="20"/>
              </w:rPr>
            </w:pPr>
            <w:r w:rsidRPr="009B4D18">
              <w:rPr>
                <w:rFonts w:ascii="Times New Roman" w:hAnsi="Times New Roman" w:cs="Times New Roman"/>
                <w:b/>
                <w:bCs/>
                <w:sz w:val="20"/>
                <w:szCs w:val="20"/>
              </w:rPr>
              <w:t xml:space="preserve">Mental </w:t>
            </w:r>
            <w:r w:rsidR="009B4D18" w:rsidRPr="009B4D18">
              <w:rPr>
                <w:rFonts w:ascii="Times New Roman" w:hAnsi="Times New Roman" w:cs="Times New Roman"/>
                <w:b/>
                <w:bCs/>
                <w:sz w:val="20"/>
                <w:szCs w:val="20"/>
              </w:rPr>
              <w:t>disorder</w:t>
            </w:r>
          </w:p>
        </w:tc>
        <w:tc>
          <w:tcPr>
            <w:tcW w:w="0" w:type="auto"/>
            <w:tcBorders>
              <w:top w:val="single" w:sz="4" w:space="0" w:color="auto"/>
              <w:left w:val="nil"/>
              <w:bottom w:val="nil"/>
              <w:right w:val="nil"/>
            </w:tcBorders>
            <w:shd w:val="clear" w:color="auto" w:fill="auto"/>
            <w:vAlign w:val="center"/>
          </w:tcPr>
          <w:p w14:paraId="42C9A3D2" w14:textId="46A9F395" w:rsidR="00C5189A" w:rsidRPr="00F84E9D" w:rsidRDefault="007F2B29" w:rsidP="001D49AF">
            <w:pPr>
              <w:adjustRightInd w:val="0"/>
              <w:snapToGrid w:val="0"/>
              <w:spacing w:after="0" w:line="480" w:lineRule="auto"/>
              <w:jc w:val="both"/>
              <w:rPr>
                <w:rFonts w:ascii="Times New Roman" w:hAnsi="Times New Roman" w:cs="Times New Roman"/>
                <w:sz w:val="20"/>
                <w:szCs w:val="20"/>
              </w:rPr>
            </w:pPr>
            <w:proofErr w:type="gramStart"/>
            <w:r w:rsidRPr="00F84E9D">
              <w:rPr>
                <w:rFonts w:ascii="Times New Roman" w:hAnsi="Times New Roman" w:cs="Times New Roman"/>
                <w:sz w:val="20"/>
                <w:szCs w:val="20"/>
              </w:rPr>
              <w:t>All of</w:t>
            </w:r>
            <w:proofErr w:type="gramEnd"/>
            <w:r w:rsidRPr="00F84E9D">
              <w:rPr>
                <w:rFonts w:ascii="Times New Roman" w:hAnsi="Times New Roman" w:cs="Times New Roman"/>
                <w:sz w:val="20"/>
                <w:szCs w:val="20"/>
              </w:rPr>
              <w:t xml:space="preserve"> the below</w:t>
            </w:r>
          </w:p>
        </w:tc>
        <w:tc>
          <w:tcPr>
            <w:tcW w:w="0" w:type="auto"/>
            <w:tcBorders>
              <w:top w:val="single" w:sz="4" w:space="0" w:color="auto"/>
              <w:left w:val="nil"/>
              <w:bottom w:val="nil"/>
              <w:right w:val="nil"/>
            </w:tcBorders>
            <w:shd w:val="clear" w:color="auto" w:fill="auto"/>
            <w:vAlign w:val="center"/>
          </w:tcPr>
          <w:p w14:paraId="4C9E80F6" w14:textId="1DBB2A6C" w:rsidR="00C5189A" w:rsidRPr="00F84E9D" w:rsidRDefault="007F2B29" w:rsidP="001D49AF">
            <w:pPr>
              <w:adjustRightInd w:val="0"/>
              <w:snapToGrid w:val="0"/>
              <w:spacing w:after="0" w:line="480" w:lineRule="auto"/>
              <w:jc w:val="both"/>
              <w:rPr>
                <w:rFonts w:ascii="Times New Roman" w:hAnsi="Times New Roman" w:cs="Times New Roman"/>
                <w:sz w:val="20"/>
                <w:szCs w:val="20"/>
              </w:rPr>
            </w:pPr>
            <w:proofErr w:type="gramStart"/>
            <w:r w:rsidRPr="00F84E9D">
              <w:rPr>
                <w:rFonts w:ascii="Times New Roman" w:hAnsi="Times New Roman" w:cs="Times New Roman"/>
                <w:sz w:val="20"/>
                <w:szCs w:val="20"/>
              </w:rPr>
              <w:t>All of</w:t>
            </w:r>
            <w:proofErr w:type="gramEnd"/>
            <w:r w:rsidRPr="00F84E9D">
              <w:rPr>
                <w:rFonts w:ascii="Times New Roman" w:hAnsi="Times New Roman" w:cs="Times New Roman"/>
                <w:sz w:val="20"/>
                <w:szCs w:val="20"/>
              </w:rPr>
              <w:t xml:space="preserve"> the below</w:t>
            </w:r>
          </w:p>
        </w:tc>
        <w:tc>
          <w:tcPr>
            <w:tcW w:w="0" w:type="auto"/>
            <w:tcBorders>
              <w:top w:val="single" w:sz="4" w:space="0" w:color="auto"/>
              <w:left w:val="nil"/>
              <w:bottom w:val="nil"/>
              <w:right w:val="nil"/>
            </w:tcBorders>
            <w:shd w:val="clear" w:color="auto" w:fill="auto"/>
            <w:vAlign w:val="center"/>
          </w:tcPr>
          <w:p w14:paraId="77C636C1" w14:textId="30573F50" w:rsidR="00C5189A" w:rsidRPr="00F84E9D" w:rsidRDefault="007F2B29" w:rsidP="001D49AF">
            <w:pPr>
              <w:adjustRightInd w:val="0"/>
              <w:snapToGrid w:val="0"/>
              <w:spacing w:after="0" w:line="480" w:lineRule="auto"/>
              <w:jc w:val="both"/>
              <w:rPr>
                <w:rFonts w:ascii="Times New Roman" w:hAnsi="Times New Roman" w:cs="Times New Roman"/>
                <w:sz w:val="20"/>
                <w:szCs w:val="20"/>
              </w:rPr>
            </w:pPr>
            <w:proofErr w:type="gramStart"/>
            <w:r w:rsidRPr="00F84E9D">
              <w:rPr>
                <w:rFonts w:ascii="Times New Roman" w:hAnsi="Times New Roman" w:cs="Times New Roman"/>
                <w:sz w:val="20"/>
                <w:szCs w:val="20"/>
              </w:rPr>
              <w:t>All of</w:t>
            </w:r>
            <w:proofErr w:type="gramEnd"/>
            <w:r w:rsidRPr="00F84E9D">
              <w:rPr>
                <w:rFonts w:ascii="Times New Roman" w:hAnsi="Times New Roman" w:cs="Times New Roman"/>
                <w:sz w:val="20"/>
                <w:szCs w:val="20"/>
              </w:rPr>
              <w:t xml:space="preserve"> the below</w:t>
            </w:r>
          </w:p>
        </w:tc>
      </w:tr>
      <w:tr w:rsidR="00437B5A" w:rsidRPr="00F84E9D" w14:paraId="7318DB70" w14:textId="77777777" w:rsidTr="009B4D18">
        <w:trPr>
          <w:trHeight w:val="247"/>
        </w:trPr>
        <w:tc>
          <w:tcPr>
            <w:tcW w:w="0" w:type="auto"/>
            <w:tcBorders>
              <w:top w:val="nil"/>
              <w:left w:val="nil"/>
              <w:bottom w:val="nil"/>
              <w:right w:val="nil"/>
            </w:tcBorders>
            <w:shd w:val="clear" w:color="auto" w:fill="D9D9D9" w:themeFill="background1" w:themeFillShade="D9"/>
            <w:vAlign w:val="center"/>
            <w:hideMark/>
          </w:tcPr>
          <w:p w14:paraId="5B1C8B24" w14:textId="77777777" w:rsidR="00C5189A" w:rsidRPr="00F84E9D" w:rsidRDefault="00C5189A" w:rsidP="001D49AF">
            <w:pPr>
              <w:adjustRightInd w:val="0"/>
              <w:snapToGrid w:val="0"/>
              <w:spacing w:after="0" w:line="480" w:lineRule="auto"/>
              <w:jc w:val="both"/>
              <w:rPr>
                <w:rFonts w:ascii="Times New Roman" w:hAnsi="Times New Roman" w:cs="Times New Roman"/>
                <w:b/>
                <w:bCs/>
                <w:sz w:val="20"/>
                <w:szCs w:val="20"/>
              </w:rPr>
            </w:pPr>
            <w:r w:rsidRPr="00F84E9D">
              <w:rPr>
                <w:rFonts w:ascii="Times New Roman" w:hAnsi="Times New Roman" w:cs="Times New Roman"/>
                <w:b/>
                <w:bCs/>
                <w:sz w:val="20"/>
                <w:szCs w:val="20"/>
              </w:rPr>
              <w:t>Psychiatric disorders</w:t>
            </w:r>
          </w:p>
        </w:tc>
        <w:tc>
          <w:tcPr>
            <w:tcW w:w="0" w:type="auto"/>
            <w:tcBorders>
              <w:top w:val="nil"/>
              <w:left w:val="nil"/>
              <w:bottom w:val="nil"/>
              <w:right w:val="nil"/>
            </w:tcBorders>
            <w:shd w:val="clear" w:color="auto" w:fill="D9D9D9" w:themeFill="background1" w:themeFillShade="D9"/>
            <w:vAlign w:val="center"/>
          </w:tcPr>
          <w:p w14:paraId="7112D66B" w14:textId="77777777" w:rsidR="00C5189A" w:rsidRPr="00F84E9D" w:rsidRDefault="00C5189A" w:rsidP="001D49AF">
            <w:pPr>
              <w:adjustRightInd w:val="0"/>
              <w:snapToGrid w:val="0"/>
              <w:spacing w:after="0" w:line="480" w:lineRule="auto"/>
              <w:jc w:val="both"/>
              <w:rPr>
                <w:rFonts w:ascii="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vAlign w:val="center"/>
          </w:tcPr>
          <w:p w14:paraId="7AB8A7C0" w14:textId="77777777" w:rsidR="00C5189A" w:rsidRPr="00F84E9D" w:rsidRDefault="00C5189A" w:rsidP="001D49AF">
            <w:pPr>
              <w:adjustRightInd w:val="0"/>
              <w:snapToGrid w:val="0"/>
              <w:spacing w:after="0" w:line="480" w:lineRule="auto"/>
              <w:jc w:val="both"/>
              <w:rPr>
                <w:rFonts w:ascii="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vAlign w:val="center"/>
          </w:tcPr>
          <w:p w14:paraId="19086BB6" w14:textId="77777777" w:rsidR="00C5189A" w:rsidRPr="00F84E9D" w:rsidRDefault="00C5189A" w:rsidP="001D49AF">
            <w:pPr>
              <w:adjustRightInd w:val="0"/>
              <w:snapToGrid w:val="0"/>
              <w:spacing w:after="0" w:line="480" w:lineRule="auto"/>
              <w:jc w:val="both"/>
              <w:rPr>
                <w:rFonts w:ascii="Times New Roman" w:hAnsi="Times New Roman" w:cs="Times New Roman"/>
                <w:sz w:val="20"/>
                <w:szCs w:val="20"/>
              </w:rPr>
            </w:pPr>
          </w:p>
        </w:tc>
      </w:tr>
      <w:tr w:rsidR="003E52C8" w:rsidRPr="00F84E9D" w14:paraId="3A9E2C36" w14:textId="77777777" w:rsidTr="00F84E9D">
        <w:trPr>
          <w:trHeight w:val="247"/>
        </w:trPr>
        <w:tc>
          <w:tcPr>
            <w:tcW w:w="0" w:type="auto"/>
            <w:tcBorders>
              <w:top w:val="nil"/>
              <w:left w:val="nil"/>
              <w:bottom w:val="nil"/>
              <w:right w:val="nil"/>
            </w:tcBorders>
            <w:vAlign w:val="center"/>
          </w:tcPr>
          <w:p w14:paraId="36D6BED3" w14:textId="013832EC" w:rsidR="003E52C8" w:rsidRPr="00F84E9D" w:rsidRDefault="003E52C8" w:rsidP="001D49AF">
            <w:pPr>
              <w:adjustRightInd w:val="0"/>
              <w:snapToGrid w:val="0"/>
              <w:spacing w:after="0" w:line="480" w:lineRule="auto"/>
              <w:jc w:val="both"/>
              <w:rPr>
                <w:rFonts w:ascii="Times New Roman" w:hAnsi="Times New Roman" w:cs="Times New Roman"/>
                <w:b/>
                <w:bCs/>
                <w:sz w:val="20"/>
                <w:szCs w:val="20"/>
              </w:rPr>
            </w:pPr>
            <w:r w:rsidRPr="00F84E9D">
              <w:rPr>
                <w:rFonts w:ascii="Times New Roman" w:hAnsi="Times New Roman" w:cs="Times New Roman"/>
                <w:sz w:val="20"/>
                <w:szCs w:val="20"/>
                <w:lang w:eastAsia="zh-CN"/>
              </w:rPr>
              <w:t>Depression</w:t>
            </w:r>
          </w:p>
        </w:tc>
        <w:tc>
          <w:tcPr>
            <w:tcW w:w="0" w:type="auto"/>
            <w:tcBorders>
              <w:top w:val="nil"/>
              <w:left w:val="nil"/>
              <w:bottom w:val="nil"/>
              <w:right w:val="nil"/>
            </w:tcBorders>
            <w:vAlign w:val="center"/>
          </w:tcPr>
          <w:p w14:paraId="676375A6" w14:textId="64064865"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296.0, 296.2, 298.0, 300.4</w:t>
            </w:r>
          </w:p>
        </w:tc>
        <w:tc>
          <w:tcPr>
            <w:tcW w:w="0" w:type="auto"/>
            <w:tcBorders>
              <w:top w:val="nil"/>
              <w:left w:val="nil"/>
              <w:bottom w:val="nil"/>
              <w:right w:val="nil"/>
            </w:tcBorders>
            <w:vAlign w:val="center"/>
          </w:tcPr>
          <w:p w14:paraId="6DA548B4" w14:textId="6014418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296B, 296D, 298A, 300E, 311</w:t>
            </w:r>
          </w:p>
        </w:tc>
        <w:tc>
          <w:tcPr>
            <w:tcW w:w="0" w:type="auto"/>
            <w:tcBorders>
              <w:top w:val="nil"/>
              <w:left w:val="nil"/>
              <w:bottom w:val="nil"/>
              <w:right w:val="nil"/>
            </w:tcBorders>
            <w:vAlign w:val="center"/>
          </w:tcPr>
          <w:p w14:paraId="78E314B4" w14:textId="0422C07F"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F32-F33</w:t>
            </w:r>
          </w:p>
        </w:tc>
      </w:tr>
      <w:tr w:rsidR="003E52C8" w:rsidRPr="00F84E9D" w14:paraId="6F122EAC" w14:textId="77777777" w:rsidTr="00F84E9D">
        <w:trPr>
          <w:trHeight w:val="247"/>
        </w:trPr>
        <w:tc>
          <w:tcPr>
            <w:tcW w:w="0" w:type="auto"/>
            <w:tcBorders>
              <w:top w:val="nil"/>
              <w:left w:val="nil"/>
              <w:bottom w:val="nil"/>
              <w:right w:val="nil"/>
            </w:tcBorders>
            <w:vAlign w:val="center"/>
          </w:tcPr>
          <w:p w14:paraId="0AA83F67" w14:textId="443F838E" w:rsidR="003E52C8" w:rsidRPr="00F84E9D" w:rsidRDefault="003E52C8" w:rsidP="001D49AF">
            <w:pPr>
              <w:adjustRightInd w:val="0"/>
              <w:snapToGrid w:val="0"/>
              <w:spacing w:after="0" w:line="480" w:lineRule="auto"/>
              <w:jc w:val="both"/>
              <w:rPr>
                <w:rFonts w:ascii="Times New Roman" w:hAnsi="Times New Roman" w:cs="Times New Roman"/>
                <w:b/>
                <w:bCs/>
                <w:sz w:val="20"/>
                <w:szCs w:val="20"/>
              </w:rPr>
            </w:pPr>
            <w:r w:rsidRPr="00F84E9D">
              <w:rPr>
                <w:rFonts w:ascii="Times New Roman" w:hAnsi="Times New Roman" w:cs="Times New Roman"/>
                <w:sz w:val="20"/>
                <w:szCs w:val="20"/>
              </w:rPr>
              <w:t>Anxiety</w:t>
            </w:r>
          </w:p>
        </w:tc>
        <w:tc>
          <w:tcPr>
            <w:tcW w:w="0" w:type="auto"/>
            <w:tcBorders>
              <w:top w:val="nil"/>
              <w:left w:val="nil"/>
              <w:bottom w:val="nil"/>
              <w:right w:val="nil"/>
            </w:tcBorders>
            <w:vAlign w:val="center"/>
          </w:tcPr>
          <w:p w14:paraId="7394F93A" w14:textId="53A6B9FF"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300.0, 300.2</w:t>
            </w:r>
          </w:p>
        </w:tc>
        <w:tc>
          <w:tcPr>
            <w:tcW w:w="0" w:type="auto"/>
            <w:tcBorders>
              <w:top w:val="nil"/>
              <w:left w:val="nil"/>
              <w:bottom w:val="nil"/>
              <w:right w:val="nil"/>
            </w:tcBorders>
            <w:vAlign w:val="center"/>
          </w:tcPr>
          <w:p w14:paraId="352A29B8" w14:textId="3E3A5C8E"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300A, 300C</w:t>
            </w:r>
          </w:p>
        </w:tc>
        <w:tc>
          <w:tcPr>
            <w:tcW w:w="0" w:type="auto"/>
            <w:tcBorders>
              <w:top w:val="nil"/>
              <w:left w:val="nil"/>
              <w:bottom w:val="nil"/>
              <w:right w:val="nil"/>
            </w:tcBorders>
            <w:vAlign w:val="center"/>
          </w:tcPr>
          <w:p w14:paraId="2D8F573B" w14:textId="5FFD8328"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F40-F41</w:t>
            </w:r>
          </w:p>
        </w:tc>
      </w:tr>
      <w:tr w:rsidR="003E52C8" w:rsidRPr="00F84E9D" w14:paraId="5CBC79F7" w14:textId="77777777" w:rsidTr="00F84E9D">
        <w:trPr>
          <w:trHeight w:val="247"/>
        </w:trPr>
        <w:tc>
          <w:tcPr>
            <w:tcW w:w="0" w:type="auto"/>
            <w:tcBorders>
              <w:top w:val="nil"/>
              <w:left w:val="nil"/>
              <w:bottom w:val="nil"/>
              <w:right w:val="nil"/>
            </w:tcBorders>
            <w:vAlign w:val="center"/>
          </w:tcPr>
          <w:p w14:paraId="16FECD4F" w14:textId="1B9D91FD" w:rsidR="003E52C8" w:rsidRPr="00F84E9D" w:rsidRDefault="003E52C8" w:rsidP="001D49AF">
            <w:pPr>
              <w:adjustRightInd w:val="0"/>
              <w:snapToGrid w:val="0"/>
              <w:spacing w:after="0" w:line="480" w:lineRule="auto"/>
              <w:jc w:val="both"/>
              <w:rPr>
                <w:rFonts w:ascii="Times New Roman" w:hAnsi="Times New Roman" w:cs="Times New Roman"/>
                <w:b/>
                <w:bCs/>
                <w:sz w:val="20"/>
                <w:szCs w:val="20"/>
              </w:rPr>
            </w:pPr>
            <w:r w:rsidRPr="00F84E9D">
              <w:rPr>
                <w:rFonts w:ascii="Times New Roman" w:hAnsi="Times New Roman" w:cs="Times New Roman"/>
                <w:sz w:val="20"/>
                <w:szCs w:val="20"/>
              </w:rPr>
              <w:t>Stress-related disorder</w:t>
            </w:r>
          </w:p>
        </w:tc>
        <w:tc>
          <w:tcPr>
            <w:tcW w:w="0" w:type="auto"/>
            <w:tcBorders>
              <w:top w:val="nil"/>
              <w:left w:val="nil"/>
              <w:bottom w:val="nil"/>
              <w:right w:val="nil"/>
            </w:tcBorders>
            <w:vAlign w:val="center"/>
          </w:tcPr>
          <w:p w14:paraId="48170593" w14:textId="06F66570"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307</w:t>
            </w:r>
          </w:p>
        </w:tc>
        <w:tc>
          <w:tcPr>
            <w:tcW w:w="0" w:type="auto"/>
            <w:tcBorders>
              <w:top w:val="nil"/>
              <w:left w:val="nil"/>
              <w:bottom w:val="nil"/>
              <w:right w:val="nil"/>
            </w:tcBorders>
            <w:vAlign w:val="center"/>
          </w:tcPr>
          <w:p w14:paraId="363DA2E2" w14:textId="359E3AF3"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308, 309</w:t>
            </w:r>
          </w:p>
        </w:tc>
        <w:tc>
          <w:tcPr>
            <w:tcW w:w="0" w:type="auto"/>
            <w:tcBorders>
              <w:top w:val="nil"/>
              <w:left w:val="nil"/>
              <w:bottom w:val="nil"/>
              <w:right w:val="nil"/>
            </w:tcBorders>
            <w:vAlign w:val="center"/>
          </w:tcPr>
          <w:p w14:paraId="759E80B4" w14:textId="12485E23"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F43</w:t>
            </w:r>
          </w:p>
        </w:tc>
      </w:tr>
      <w:tr w:rsidR="003E52C8" w:rsidRPr="00F84E9D" w14:paraId="78F3A983" w14:textId="77777777" w:rsidTr="00F84E9D">
        <w:trPr>
          <w:trHeight w:val="247"/>
        </w:trPr>
        <w:tc>
          <w:tcPr>
            <w:tcW w:w="0" w:type="auto"/>
            <w:tcBorders>
              <w:top w:val="nil"/>
              <w:left w:val="nil"/>
              <w:bottom w:val="nil"/>
              <w:right w:val="nil"/>
            </w:tcBorders>
            <w:vAlign w:val="center"/>
          </w:tcPr>
          <w:p w14:paraId="6C307B6D" w14:textId="65A02990" w:rsidR="003E52C8" w:rsidRPr="00F84E9D" w:rsidRDefault="003E52C8" w:rsidP="001D49AF">
            <w:pPr>
              <w:adjustRightInd w:val="0"/>
              <w:snapToGrid w:val="0"/>
              <w:spacing w:after="0" w:line="480" w:lineRule="auto"/>
              <w:jc w:val="both"/>
              <w:rPr>
                <w:rFonts w:ascii="Times New Roman" w:hAnsi="Times New Roman" w:cs="Times New Roman"/>
                <w:b/>
                <w:bCs/>
                <w:sz w:val="20"/>
                <w:szCs w:val="20"/>
              </w:rPr>
            </w:pPr>
            <w:r w:rsidRPr="00F84E9D">
              <w:rPr>
                <w:rFonts w:ascii="Times New Roman" w:hAnsi="Times New Roman" w:cs="Times New Roman"/>
                <w:sz w:val="20"/>
                <w:szCs w:val="20"/>
              </w:rPr>
              <w:t>Alcohol-related disorder</w:t>
            </w:r>
          </w:p>
        </w:tc>
        <w:tc>
          <w:tcPr>
            <w:tcW w:w="0" w:type="auto"/>
            <w:tcBorders>
              <w:top w:val="nil"/>
              <w:left w:val="nil"/>
              <w:bottom w:val="nil"/>
              <w:right w:val="nil"/>
            </w:tcBorders>
            <w:vAlign w:val="center"/>
          </w:tcPr>
          <w:p w14:paraId="1AFBFA76" w14:textId="4C6766DB"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291, 303</w:t>
            </w:r>
          </w:p>
        </w:tc>
        <w:tc>
          <w:tcPr>
            <w:tcW w:w="0" w:type="auto"/>
            <w:tcBorders>
              <w:top w:val="nil"/>
              <w:left w:val="nil"/>
              <w:bottom w:val="nil"/>
              <w:right w:val="nil"/>
            </w:tcBorders>
            <w:vAlign w:val="center"/>
          </w:tcPr>
          <w:p w14:paraId="4FC45011" w14:textId="35E1CED4"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305B, 291</w:t>
            </w:r>
          </w:p>
        </w:tc>
        <w:tc>
          <w:tcPr>
            <w:tcW w:w="0" w:type="auto"/>
            <w:tcBorders>
              <w:top w:val="nil"/>
              <w:left w:val="nil"/>
              <w:bottom w:val="nil"/>
              <w:right w:val="nil"/>
            </w:tcBorders>
            <w:vAlign w:val="center"/>
          </w:tcPr>
          <w:p w14:paraId="394075CA" w14:textId="32C86ABE"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F10</w:t>
            </w:r>
          </w:p>
        </w:tc>
      </w:tr>
      <w:tr w:rsidR="003E52C8" w:rsidRPr="00F84E9D" w14:paraId="5532F572" w14:textId="77777777" w:rsidTr="00F84E9D">
        <w:trPr>
          <w:trHeight w:val="247"/>
        </w:trPr>
        <w:tc>
          <w:tcPr>
            <w:tcW w:w="0" w:type="auto"/>
            <w:tcBorders>
              <w:top w:val="nil"/>
              <w:left w:val="nil"/>
              <w:bottom w:val="nil"/>
              <w:right w:val="nil"/>
            </w:tcBorders>
            <w:vAlign w:val="center"/>
          </w:tcPr>
          <w:p w14:paraId="3E0CEA11" w14:textId="4DB3B8B0" w:rsidR="003E52C8" w:rsidRPr="00F84E9D" w:rsidRDefault="003E52C8" w:rsidP="001D49AF">
            <w:pPr>
              <w:adjustRightInd w:val="0"/>
              <w:snapToGrid w:val="0"/>
              <w:spacing w:after="0" w:line="480" w:lineRule="auto"/>
              <w:jc w:val="both"/>
              <w:rPr>
                <w:rFonts w:ascii="Times New Roman" w:hAnsi="Times New Roman" w:cs="Times New Roman"/>
                <w:b/>
                <w:bCs/>
                <w:sz w:val="20"/>
                <w:szCs w:val="20"/>
              </w:rPr>
            </w:pPr>
            <w:r w:rsidRPr="00F84E9D">
              <w:rPr>
                <w:rFonts w:ascii="Times New Roman" w:hAnsi="Times New Roman" w:cs="Times New Roman"/>
                <w:sz w:val="20"/>
                <w:szCs w:val="20"/>
              </w:rPr>
              <w:t>Tobacco-related disorder</w:t>
            </w:r>
          </w:p>
        </w:tc>
        <w:tc>
          <w:tcPr>
            <w:tcW w:w="0" w:type="auto"/>
            <w:tcBorders>
              <w:top w:val="nil"/>
              <w:left w:val="nil"/>
              <w:bottom w:val="nil"/>
              <w:right w:val="nil"/>
            </w:tcBorders>
            <w:vAlign w:val="center"/>
          </w:tcPr>
          <w:p w14:paraId="107C56EF" w14:textId="02C12496"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w:t>
            </w:r>
          </w:p>
        </w:tc>
        <w:tc>
          <w:tcPr>
            <w:tcW w:w="0" w:type="auto"/>
            <w:tcBorders>
              <w:top w:val="nil"/>
              <w:left w:val="nil"/>
              <w:bottom w:val="nil"/>
              <w:right w:val="nil"/>
            </w:tcBorders>
            <w:vAlign w:val="center"/>
          </w:tcPr>
          <w:p w14:paraId="0D1FD09D" w14:textId="46A55081"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305A</w:t>
            </w:r>
          </w:p>
        </w:tc>
        <w:tc>
          <w:tcPr>
            <w:tcW w:w="0" w:type="auto"/>
            <w:tcBorders>
              <w:top w:val="nil"/>
              <w:left w:val="nil"/>
              <w:bottom w:val="nil"/>
              <w:right w:val="nil"/>
            </w:tcBorders>
            <w:vAlign w:val="center"/>
          </w:tcPr>
          <w:p w14:paraId="1892DCF2" w14:textId="4F0E3FAE"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F17</w:t>
            </w:r>
          </w:p>
        </w:tc>
      </w:tr>
      <w:tr w:rsidR="003E52C8" w:rsidRPr="00F84E9D" w14:paraId="38EFC7E9" w14:textId="77777777" w:rsidTr="009B4D18">
        <w:trPr>
          <w:trHeight w:val="247"/>
        </w:trPr>
        <w:tc>
          <w:tcPr>
            <w:tcW w:w="0" w:type="auto"/>
            <w:tcBorders>
              <w:top w:val="nil"/>
              <w:left w:val="nil"/>
              <w:bottom w:val="nil"/>
              <w:right w:val="nil"/>
            </w:tcBorders>
            <w:shd w:val="clear" w:color="auto" w:fill="auto"/>
            <w:vAlign w:val="center"/>
            <w:hideMark/>
          </w:tcPr>
          <w:p w14:paraId="1BA74BFB"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Substance abuse, excl. tobacco- and alcohol-related disorders</w:t>
            </w:r>
          </w:p>
        </w:tc>
        <w:tc>
          <w:tcPr>
            <w:tcW w:w="0" w:type="auto"/>
            <w:tcBorders>
              <w:top w:val="nil"/>
              <w:left w:val="nil"/>
              <w:bottom w:val="nil"/>
              <w:right w:val="nil"/>
            </w:tcBorders>
            <w:shd w:val="clear" w:color="auto" w:fill="auto"/>
            <w:vAlign w:val="center"/>
            <w:hideMark/>
          </w:tcPr>
          <w:p w14:paraId="7C1A8C0F"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304</w:t>
            </w:r>
          </w:p>
        </w:tc>
        <w:tc>
          <w:tcPr>
            <w:tcW w:w="0" w:type="auto"/>
            <w:tcBorders>
              <w:top w:val="nil"/>
              <w:left w:val="nil"/>
              <w:bottom w:val="nil"/>
              <w:right w:val="nil"/>
            </w:tcBorders>
            <w:shd w:val="clear" w:color="auto" w:fill="auto"/>
            <w:vAlign w:val="center"/>
            <w:hideMark/>
          </w:tcPr>
          <w:p w14:paraId="217C1E47"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292, 303-305 except (305A, 305B)</w:t>
            </w:r>
          </w:p>
        </w:tc>
        <w:tc>
          <w:tcPr>
            <w:tcW w:w="0" w:type="auto"/>
            <w:tcBorders>
              <w:top w:val="nil"/>
              <w:left w:val="nil"/>
              <w:bottom w:val="nil"/>
              <w:right w:val="nil"/>
            </w:tcBorders>
            <w:shd w:val="clear" w:color="auto" w:fill="auto"/>
            <w:vAlign w:val="center"/>
            <w:hideMark/>
          </w:tcPr>
          <w:p w14:paraId="31A242F7"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F10-F19 except (F10, F17)</w:t>
            </w:r>
          </w:p>
        </w:tc>
      </w:tr>
      <w:tr w:rsidR="003E52C8" w:rsidRPr="00F84E9D" w14:paraId="67EA9C62" w14:textId="77777777" w:rsidTr="00F84E9D">
        <w:trPr>
          <w:trHeight w:val="247"/>
        </w:trPr>
        <w:tc>
          <w:tcPr>
            <w:tcW w:w="0" w:type="auto"/>
            <w:tcBorders>
              <w:top w:val="nil"/>
              <w:left w:val="nil"/>
              <w:bottom w:val="nil"/>
              <w:right w:val="nil"/>
            </w:tcBorders>
            <w:vAlign w:val="center"/>
            <w:hideMark/>
          </w:tcPr>
          <w:p w14:paraId="39DEC83D" w14:textId="2504126D"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Psychotic disorder</w:t>
            </w:r>
            <w:r w:rsidR="0007169C">
              <w:rPr>
                <w:rFonts w:ascii="Times New Roman" w:hAnsi="Times New Roman" w:cs="Times New Roman"/>
                <w:vertAlign w:val="superscript"/>
              </w:rPr>
              <w:t>1</w:t>
            </w:r>
          </w:p>
        </w:tc>
        <w:tc>
          <w:tcPr>
            <w:tcW w:w="0" w:type="auto"/>
            <w:tcBorders>
              <w:top w:val="nil"/>
              <w:left w:val="nil"/>
              <w:bottom w:val="nil"/>
              <w:right w:val="nil"/>
            </w:tcBorders>
            <w:vAlign w:val="center"/>
            <w:hideMark/>
          </w:tcPr>
          <w:p w14:paraId="32B4954B"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295, 297, 298, 299</w:t>
            </w:r>
          </w:p>
        </w:tc>
        <w:tc>
          <w:tcPr>
            <w:tcW w:w="0" w:type="auto"/>
            <w:tcBorders>
              <w:top w:val="nil"/>
              <w:left w:val="nil"/>
              <w:bottom w:val="nil"/>
              <w:right w:val="nil"/>
            </w:tcBorders>
            <w:vAlign w:val="center"/>
            <w:hideMark/>
          </w:tcPr>
          <w:p w14:paraId="54D01C83"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lang w:val="sv-SE"/>
              </w:rPr>
            </w:pPr>
            <w:r w:rsidRPr="00F84E9D">
              <w:rPr>
                <w:rFonts w:ascii="Times New Roman" w:hAnsi="Times New Roman" w:cs="Times New Roman"/>
                <w:sz w:val="20"/>
                <w:szCs w:val="20"/>
              </w:rPr>
              <w:t>295, 297, 298</w:t>
            </w:r>
          </w:p>
        </w:tc>
        <w:tc>
          <w:tcPr>
            <w:tcW w:w="0" w:type="auto"/>
            <w:tcBorders>
              <w:top w:val="nil"/>
              <w:left w:val="nil"/>
              <w:bottom w:val="nil"/>
              <w:right w:val="nil"/>
            </w:tcBorders>
            <w:vAlign w:val="center"/>
            <w:hideMark/>
          </w:tcPr>
          <w:p w14:paraId="4EE2A541"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F20-F29</w:t>
            </w:r>
          </w:p>
        </w:tc>
      </w:tr>
      <w:tr w:rsidR="003E52C8" w:rsidRPr="00F84E9D" w14:paraId="623BA58A" w14:textId="77777777" w:rsidTr="009B4D18">
        <w:trPr>
          <w:trHeight w:val="247"/>
        </w:trPr>
        <w:tc>
          <w:tcPr>
            <w:tcW w:w="0" w:type="auto"/>
            <w:tcBorders>
              <w:top w:val="nil"/>
              <w:left w:val="nil"/>
              <w:bottom w:val="nil"/>
              <w:right w:val="nil"/>
            </w:tcBorders>
            <w:shd w:val="clear" w:color="auto" w:fill="D9D9D9" w:themeFill="background1" w:themeFillShade="D9"/>
            <w:hideMark/>
          </w:tcPr>
          <w:p w14:paraId="51296993" w14:textId="77777777" w:rsidR="003E52C8" w:rsidRPr="00F84E9D" w:rsidRDefault="003E52C8" w:rsidP="001D49AF">
            <w:pPr>
              <w:adjustRightInd w:val="0"/>
              <w:snapToGrid w:val="0"/>
              <w:spacing w:after="0" w:line="480" w:lineRule="auto"/>
              <w:jc w:val="both"/>
              <w:rPr>
                <w:rFonts w:ascii="Times New Roman" w:hAnsi="Times New Roman" w:cs="Times New Roman"/>
                <w:b/>
                <w:bCs/>
                <w:sz w:val="20"/>
                <w:szCs w:val="20"/>
              </w:rPr>
            </w:pPr>
            <w:r w:rsidRPr="00F84E9D">
              <w:rPr>
                <w:rFonts w:ascii="Times New Roman" w:hAnsi="Times New Roman" w:cs="Times New Roman"/>
                <w:b/>
                <w:bCs/>
                <w:sz w:val="20"/>
                <w:szCs w:val="20"/>
              </w:rPr>
              <w:t>Neurodevelopmental disorders</w:t>
            </w:r>
          </w:p>
        </w:tc>
        <w:tc>
          <w:tcPr>
            <w:tcW w:w="0" w:type="auto"/>
            <w:tcBorders>
              <w:top w:val="nil"/>
              <w:left w:val="nil"/>
              <w:bottom w:val="nil"/>
              <w:right w:val="nil"/>
            </w:tcBorders>
            <w:shd w:val="clear" w:color="auto" w:fill="D9D9D9" w:themeFill="background1" w:themeFillShade="D9"/>
          </w:tcPr>
          <w:p w14:paraId="3CC4044B"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tcPr>
          <w:p w14:paraId="46E58D8F"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p>
        </w:tc>
        <w:tc>
          <w:tcPr>
            <w:tcW w:w="0" w:type="auto"/>
            <w:tcBorders>
              <w:top w:val="nil"/>
              <w:left w:val="nil"/>
              <w:bottom w:val="nil"/>
              <w:right w:val="nil"/>
            </w:tcBorders>
            <w:shd w:val="clear" w:color="auto" w:fill="D9D9D9" w:themeFill="background1" w:themeFillShade="D9"/>
          </w:tcPr>
          <w:p w14:paraId="6F747865"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p>
        </w:tc>
      </w:tr>
      <w:tr w:rsidR="003E52C8" w:rsidRPr="00F84E9D" w14:paraId="4BF75969" w14:textId="77777777" w:rsidTr="009B4D18">
        <w:trPr>
          <w:trHeight w:val="247"/>
        </w:trPr>
        <w:tc>
          <w:tcPr>
            <w:tcW w:w="0" w:type="auto"/>
            <w:tcBorders>
              <w:top w:val="nil"/>
              <w:left w:val="nil"/>
              <w:bottom w:val="nil"/>
              <w:right w:val="nil"/>
            </w:tcBorders>
            <w:shd w:val="clear" w:color="auto" w:fill="FFFFFF" w:themeFill="background1"/>
            <w:hideMark/>
          </w:tcPr>
          <w:p w14:paraId="254A79DF"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Attention-deficit hyperactivity disorder (ADHD)</w:t>
            </w:r>
          </w:p>
        </w:tc>
        <w:tc>
          <w:tcPr>
            <w:tcW w:w="0" w:type="auto"/>
            <w:tcBorders>
              <w:top w:val="nil"/>
              <w:left w:val="nil"/>
              <w:bottom w:val="nil"/>
              <w:right w:val="nil"/>
            </w:tcBorders>
            <w:shd w:val="clear" w:color="auto" w:fill="FFFFFF" w:themeFill="background1"/>
            <w:hideMark/>
          </w:tcPr>
          <w:p w14:paraId="35323894"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w:t>
            </w:r>
          </w:p>
        </w:tc>
        <w:tc>
          <w:tcPr>
            <w:tcW w:w="0" w:type="auto"/>
            <w:tcBorders>
              <w:top w:val="nil"/>
              <w:left w:val="nil"/>
              <w:bottom w:val="nil"/>
              <w:right w:val="nil"/>
            </w:tcBorders>
            <w:shd w:val="clear" w:color="auto" w:fill="FFFFFF" w:themeFill="background1"/>
            <w:hideMark/>
          </w:tcPr>
          <w:p w14:paraId="62B15410"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314</w:t>
            </w:r>
          </w:p>
        </w:tc>
        <w:tc>
          <w:tcPr>
            <w:tcW w:w="0" w:type="auto"/>
            <w:tcBorders>
              <w:top w:val="nil"/>
              <w:left w:val="nil"/>
              <w:bottom w:val="nil"/>
              <w:right w:val="nil"/>
            </w:tcBorders>
            <w:shd w:val="clear" w:color="auto" w:fill="FFFFFF" w:themeFill="background1"/>
            <w:hideMark/>
          </w:tcPr>
          <w:p w14:paraId="47F2E2E5"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F90</w:t>
            </w:r>
          </w:p>
        </w:tc>
      </w:tr>
      <w:tr w:rsidR="003E52C8" w:rsidRPr="00F84E9D" w14:paraId="16563DDB" w14:textId="77777777" w:rsidTr="00F84E9D">
        <w:trPr>
          <w:trHeight w:val="247"/>
        </w:trPr>
        <w:tc>
          <w:tcPr>
            <w:tcW w:w="0" w:type="auto"/>
            <w:tcBorders>
              <w:top w:val="nil"/>
              <w:left w:val="nil"/>
              <w:bottom w:val="nil"/>
              <w:right w:val="nil"/>
            </w:tcBorders>
            <w:hideMark/>
          </w:tcPr>
          <w:p w14:paraId="6B2DF266"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Autism</w:t>
            </w:r>
          </w:p>
        </w:tc>
        <w:tc>
          <w:tcPr>
            <w:tcW w:w="0" w:type="auto"/>
            <w:tcBorders>
              <w:top w:val="nil"/>
              <w:left w:val="nil"/>
              <w:bottom w:val="nil"/>
              <w:right w:val="nil"/>
            </w:tcBorders>
            <w:hideMark/>
          </w:tcPr>
          <w:p w14:paraId="5CB92A6A"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w:t>
            </w:r>
          </w:p>
        </w:tc>
        <w:tc>
          <w:tcPr>
            <w:tcW w:w="0" w:type="auto"/>
            <w:tcBorders>
              <w:top w:val="nil"/>
              <w:left w:val="nil"/>
              <w:bottom w:val="nil"/>
              <w:right w:val="nil"/>
            </w:tcBorders>
            <w:hideMark/>
          </w:tcPr>
          <w:p w14:paraId="469D0BFC"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299</w:t>
            </w:r>
          </w:p>
        </w:tc>
        <w:tc>
          <w:tcPr>
            <w:tcW w:w="0" w:type="auto"/>
            <w:tcBorders>
              <w:top w:val="nil"/>
              <w:left w:val="nil"/>
              <w:bottom w:val="nil"/>
              <w:right w:val="nil"/>
            </w:tcBorders>
            <w:hideMark/>
          </w:tcPr>
          <w:p w14:paraId="11E19678"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F84</w:t>
            </w:r>
          </w:p>
        </w:tc>
      </w:tr>
      <w:tr w:rsidR="003E52C8" w:rsidRPr="00F84E9D" w14:paraId="61F371C9" w14:textId="77777777" w:rsidTr="009B4D18">
        <w:trPr>
          <w:trHeight w:val="247"/>
        </w:trPr>
        <w:tc>
          <w:tcPr>
            <w:tcW w:w="0" w:type="auto"/>
            <w:tcBorders>
              <w:top w:val="nil"/>
              <w:left w:val="nil"/>
              <w:bottom w:val="single" w:sz="4" w:space="0" w:color="auto"/>
              <w:right w:val="nil"/>
            </w:tcBorders>
            <w:shd w:val="clear" w:color="auto" w:fill="FFFFFF" w:themeFill="background1"/>
            <w:hideMark/>
          </w:tcPr>
          <w:p w14:paraId="058FC03F"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Intellectual disability</w:t>
            </w:r>
          </w:p>
        </w:tc>
        <w:tc>
          <w:tcPr>
            <w:tcW w:w="0" w:type="auto"/>
            <w:tcBorders>
              <w:top w:val="nil"/>
              <w:left w:val="nil"/>
              <w:bottom w:val="single" w:sz="4" w:space="0" w:color="auto"/>
              <w:right w:val="nil"/>
            </w:tcBorders>
            <w:shd w:val="clear" w:color="auto" w:fill="FFFFFF" w:themeFill="background1"/>
            <w:hideMark/>
          </w:tcPr>
          <w:p w14:paraId="76CEE183"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310-315</w:t>
            </w:r>
          </w:p>
        </w:tc>
        <w:tc>
          <w:tcPr>
            <w:tcW w:w="0" w:type="auto"/>
            <w:tcBorders>
              <w:top w:val="nil"/>
              <w:left w:val="nil"/>
              <w:bottom w:val="single" w:sz="4" w:space="0" w:color="auto"/>
              <w:right w:val="nil"/>
            </w:tcBorders>
            <w:shd w:val="clear" w:color="auto" w:fill="FFFFFF" w:themeFill="background1"/>
            <w:hideMark/>
          </w:tcPr>
          <w:p w14:paraId="79AE5A5E"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317-319</w:t>
            </w:r>
          </w:p>
        </w:tc>
        <w:tc>
          <w:tcPr>
            <w:tcW w:w="0" w:type="auto"/>
            <w:tcBorders>
              <w:top w:val="nil"/>
              <w:left w:val="nil"/>
              <w:bottom w:val="single" w:sz="4" w:space="0" w:color="auto"/>
              <w:right w:val="nil"/>
            </w:tcBorders>
            <w:shd w:val="clear" w:color="auto" w:fill="FFFFFF" w:themeFill="background1"/>
            <w:hideMark/>
          </w:tcPr>
          <w:p w14:paraId="30CDCB0D" w14:textId="77777777" w:rsidR="003E52C8" w:rsidRPr="00F84E9D" w:rsidRDefault="003E52C8" w:rsidP="001D49AF">
            <w:pPr>
              <w:adjustRightInd w:val="0"/>
              <w:snapToGrid w:val="0"/>
              <w:spacing w:after="0" w:line="480" w:lineRule="auto"/>
              <w:jc w:val="both"/>
              <w:rPr>
                <w:rFonts w:ascii="Times New Roman" w:hAnsi="Times New Roman" w:cs="Times New Roman"/>
                <w:sz w:val="20"/>
                <w:szCs w:val="20"/>
              </w:rPr>
            </w:pPr>
            <w:r w:rsidRPr="00F84E9D">
              <w:rPr>
                <w:rFonts w:ascii="Times New Roman" w:hAnsi="Times New Roman" w:cs="Times New Roman"/>
                <w:sz w:val="20"/>
                <w:szCs w:val="20"/>
              </w:rPr>
              <w:t>F70-F79</w:t>
            </w:r>
          </w:p>
        </w:tc>
      </w:tr>
    </w:tbl>
    <w:p w14:paraId="278CC8AE" w14:textId="01D17ECB" w:rsidR="00C55DE2" w:rsidRDefault="0007169C" w:rsidP="0095768E">
      <w:pPr>
        <w:spacing w:after="0" w:line="480" w:lineRule="auto"/>
        <w:ind w:right="57"/>
        <w:jc w:val="both"/>
        <w:rPr>
          <w:rFonts w:ascii="Times New Roman" w:hAnsi="Times New Roman" w:cs="Times New Roman"/>
        </w:rPr>
      </w:pPr>
      <w:bookmarkStart w:id="4" w:name="_Ref125959881"/>
      <w:r>
        <w:rPr>
          <w:rFonts w:ascii="Times New Roman" w:hAnsi="Times New Roman" w:cs="Times New Roman"/>
          <w:vertAlign w:val="superscript"/>
        </w:rPr>
        <w:t>1</w:t>
      </w:r>
      <w:r w:rsidRPr="00D16210">
        <w:rPr>
          <w:rFonts w:ascii="Times New Roman" w:hAnsi="Times New Roman" w:cs="Times New Roman"/>
        </w:rPr>
        <w:t xml:space="preserve"> Psychotic disorder includes schizophrenia and non-affective psychotic disorders</w:t>
      </w:r>
      <w:r>
        <w:rPr>
          <w:rFonts w:ascii="Times New Roman" w:hAnsi="Times New Roman" w:cs="Times New Roman"/>
        </w:rPr>
        <w:t>.</w:t>
      </w:r>
    </w:p>
    <w:bookmarkEnd w:id="4"/>
    <w:bookmarkEnd w:id="2"/>
    <w:bookmarkEnd w:id="3"/>
    <w:sectPr w:rsidR="00C55DE2" w:rsidSect="004E1306">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0994" w14:textId="77777777" w:rsidR="00EA2935" w:rsidRDefault="00EA2935" w:rsidP="0011589D">
      <w:pPr>
        <w:spacing w:after="0" w:line="240" w:lineRule="auto"/>
      </w:pPr>
      <w:r>
        <w:separator/>
      </w:r>
    </w:p>
  </w:endnote>
  <w:endnote w:type="continuationSeparator" w:id="0">
    <w:p w14:paraId="26CB7F93" w14:textId="77777777" w:rsidR="00EA2935" w:rsidRDefault="00EA2935" w:rsidP="0011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257044"/>
      <w:docPartObj>
        <w:docPartGallery w:val="Page Numbers (Bottom of Page)"/>
        <w:docPartUnique/>
      </w:docPartObj>
    </w:sdtPr>
    <w:sdtEndPr>
      <w:rPr>
        <w:noProof/>
      </w:rPr>
    </w:sdtEndPr>
    <w:sdtContent>
      <w:p w14:paraId="54E36249" w14:textId="206BBA46" w:rsidR="0011589D" w:rsidRDefault="00115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D33C3C" w14:textId="77777777" w:rsidR="0011589D" w:rsidRDefault="0011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897D" w14:textId="77777777" w:rsidR="00EA2935" w:rsidRDefault="00EA2935" w:rsidP="0011589D">
      <w:pPr>
        <w:spacing w:after="0" w:line="240" w:lineRule="auto"/>
      </w:pPr>
      <w:r>
        <w:separator/>
      </w:r>
    </w:p>
  </w:footnote>
  <w:footnote w:type="continuationSeparator" w:id="0">
    <w:p w14:paraId="00C6E707" w14:textId="77777777" w:rsidR="00EA2935" w:rsidRDefault="00EA2935" w:rsidP="0011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D99"/>
    <w:multiLevelType w:val="hybridMultilevel"/>
    <w:tmpl w:val="82686D9E"/>
    <w:lvl w:ilvl="0" w:tplc="EF68F05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4E1"/>
    <w:multiLevelType w:val="hybridMultilevel"/>
    <w:tmpl w:val="E8AEF4B0"/>
    <w:lvl w:ilvl="0" w:tplc="F7C032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82300"/>
    <w:multiLevelType w:val="hybridMultilevel"/>
    <w:tmpl w:val="35B0E816"/>
    <w:lvl w:ilvl="0" w:tplc="6E205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570BB2"/>
    <w:multiLevelType w:val="hybridMultilevel"/>
    <w:tmpl w:val="AB44E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8D1021"/>
    <w:multiLevelType w:val="hybridMultilevel"/>
    <w:tmpl w:val="C9B6E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5063B9"/>
    <w:multiLevelType w:val="hybridMultilevel"/>
    <w:tmpl w:val="F0A0BDCE"/>
    <w:lvl w:ilvl="0" w:tplc="F7AE6B48">
      <w:start w:val="1"/>
      <w:numFmt w:val="bullet"/>
      <w:lvlText w:val=""/>
      <w:lvlJc w:val="left"/>
      <w:pPr>
        <w:ind w:left="1440" w:hanging="360"/>
      </w:pPr>
      <w:rPr>
        <w:rFonts w:ascii="Symbol" w:hAnsi="Symbol"/>
      </w:rPr>
    </w:lvl>
    <w:lvl w:ilvl="1" w:tplc="294CA194">
      <w:start w:val="1"/>
      <w:numFmt w:val="bullet"/>
      <w:lvlText w:val=""/>
      <w:lvlJc w:val="left"/>
      <w:pPr>
        <w:ind w:left="1440" w:hanging="360"/>
      </w:pPr>
      <w:rPr>
        <w:rFonts w:ascii="Symbol" w:hAnsi="Symbol"/>
      </w:rPr>
    </w:lvl>
    <w:lvl w:ilvl="2" w:tplc="59600D6C">
      <w:start w:val="1"/>
      <w:numFmt w:val="bullet"/>
      <w:lvlText w:val=""/>
      <w:lvlJc w:val="left"/>
      <w:pPr>
        <w:ind w:left="1440" w:hanging="360"/>
      </w:pPr>
      <w:rPr>
        <w:rFonts w:ascii="Symbol" w:hAnsi="Symbol"/>
      </w:rPr>
    </w:lvl>
    <w:lvl w:ilvl="3" w:tplc="2BF82964">
      <w:start w:val="1"/>
      <w:numFmt w:val="bullet"/>
      <w:lvlText w:val=""/>
      <w:lvlJc w:val="left"/>
      <w:pPr>
        <w:ind w:left="1440" w:hanging="360"/>
      </w:pPr>
      <w:rPr>
        <w:rFonts w:ascii="Symbol" w:hAnsi="Symbol"/>
      </w:rPr>
    </w:lvl>
    <w:lvl w:ilvl="4" w:tplc="2E946F82">
      <w:start w:val="1"/>
      <w:numFmt w:val="bullet"/>
      <w:lvlText w:val=""/>
      <w:lvlJc w:val="left"/>
      <w:pPr>
        <w:ind w:left="1440" w:hanging="360"/>
      </w:pPr>
      <w:rPr>
        <w:rFonts w:ascii="Symbol" w:hAnsi="Symbol"/>
      </w:rPr>
    </w:lvl>
    <w:lvl w:ilvl="5" w:tplc="42A2AE9C">
      <w:start w:val="1"/>
      <w:numFmt w:val="bullet"/>
      <w:lvlText w:val=""/>
      <w:lvlJc w:val="left"/>
      <w:pPr>
        <w:ind w:left="1440" w:hanging="360"/>
      </w:pPr>
      <w:rPr>
        <w:rFonts w:ascii="Symbol" w:hAnsi="Symbol"/>
      </w:rPr>
    </w:lvl>
    <w:lvl w:ilvl="6" w:tplc="438A6762">
      <w:start w:val="1"/>
      <w:numFmt w:val="bullet"/>
      <w:lvlText w:val=""/>
      <w:lvlJc w:val="left"/>
      <w:pPr>
        <w:ind w:left="1440" w:hanging="360"/>
      </w:pPr>
      <w:rPr>
        <w:rFonts w:ascii="Symbol" w:hAnsi="Symbol"/>
      </w:rPr>
    </w:lvl>
    <w:lvl w:ilvl="7" w:tplc="8D38223A">
      <w:start w:val="1"/>
      <w:numFmt w:val="bullet"/>
      <w:lvlText w:val=""/>
      <w:lvlJc w:val="left"/>
      <w:pPr>
        <w:ind w:left="1440" w:hanging="360"/>
      </w:pPr>
      <w:rPr>
        <w:rFonts w:ascii="Symbol" w:hAnsi="Symbol"/>
      </w:rPr>
    </w:lvl>
    <w:lvl w:ilvl="8" w:tplc="7D12C126">
      <w:start w:val="1"/>
      <w:numFmt w:val="bullet"/>
      <w:lvlText w:val=""/>
      <w:lvlJc w:val="left"/>
      <w:pPr>
        <w:ind w:left="1440" w:hanging="360"/>
      </w:pPr>
      <w:rPr>
        <w:rFonts w:ascii="Symbol" w:hAnsi="Symbol"/>
      </w:rPr>
    </w:lvl>
  </w:abstractNum>
  <w:abstractNum w:abstractNumId="6" w15:restartNumberingAfterBreak="0">
    <w:nsid w:val="77FE0AA9"/>
    <w:multiLevelType w:val="hybridMultilevel"/>
    <w:tmpl w:val="70A85522"/>
    <w:lvl w:ilvl="0" w:tplc="53322616">
      <w:start w:val="1"/>
      <w:numFmt w:val="decimal"/>
      <w:lvlText w:val="%1)"/>
      <w:lvlJc w:val="left"/>
      <w:pPr>
        <w:ind w:left="1020" w:hanging="360"/>
      </w:pPr>
    </w:lvl>
    <w:lvl w:ilvl="1" w:tplc="9CE46562">
      <w:start w:val="1"/>
      <w:numFmt w:val="decimal"/>
      <w:lvlText w:val="%2)"/>
      <w:lvlJc w:val="left"/>
      <w:pPr>
        <w:ind w:left="1020" w:hanging="360"/>
      </w:pPr>
    </w:lvl>
    <w:lvl w:ilvl="2" w:tplc="FD6CBE30">
      <w:start w:val="1"/>
      <w:numFmt w:val="decimal"/>
      <w:lvlText w:val="%3)"/>
      <w:lvlJc w:val="left"/>
      <w:pPr>
        <w:ind w:left="1020" w:hanging="360"/>
      </w:pPr>
    </w:lvl>
    <w:lvl w:ilvl="3" w:tplc="F0BCEF62">
      <w:start w:val="1"/>
      <w:numFmt w:val="decimal"/>
      <w:lvlText w:val="%4)"/>
      <w:lvlJc w:val="left"/>
      <w:pPr>
        <w:ind w:left="1020" w:hanging="360"/>
      </w:pPr>
    </w:lvl>
    <w:lvl w:ilvl="4" w:tplc="22B4B444">
      <w:start w:val="1"/>
      <w:numFmt w:val="decimal"/>
      <w:lvlText w:val="%5)"/>
      <w:lvlJc w:val="left"/>
      <w:pPr>
        <w:ind w:left="1020" w:hanging="360"/>
      </w:pPr>
    </w:lvl>
    <w:lvl w:ilvl="5" w:tplc="321842D8">
      <w:start w:val="1"/>
      <w:numFmt w:val="decimal"/>
      <w:lvlText w:val="%6)"/>
      <w:lvlJc w:val="left"/>
      <w:pPr>
        <w:ind w:left="1020" w:hanging="360"/>
      </w:pPr>
    </w:lvl>
    <w:lvl w:ilvl="6" w:tplc="C3644C18">
      <w:start w:val="1"/>
      <w:numFmt w:val="decimal"/>
      <w:lvlText w:val="%7)"/>
      <w:lvlJc w:val="left"/>
      <w:pPr>
        <w:ind w:left="1020" w:hanging="360"/>
      </w:pPr>
    </w:lvl>
    <w:lvl w:ilvl="7" w:tplc="93C6845E">
      <w:start w:val="1"/>
      <w:numFmt w:val="decimal"/>
      <w:lvlText w:val="%8)"/>
      <w:lvlJc w:val="left"/>
      <w:pPr>
        <w:ind w:left="1020" w:hanging="360"/>
      </w:pPr>
    </w:lvl>
    <w:lvl w:ilvl="8" w:tplc="9F088F72">
      <w:start w:val="1"/>
      <w:numFmt w:val="decimal"/>
      <w:lvlText w:val="%9)"/>
      <w:lvlJc w:val="left"/>
      <w:pPr>
        <w:ind w:left="1020" w:hanging="360"/>
      </w:pPr>
    </w:lvl>
  </w:abstractNum>
  <w:num w:numId="1" w16cid:durableId="1229455859">
    <w:abstractNumId w:val="1"/>
  </w:num>
  <w:num w:numId="2" w16cid:durableId="249853819">
    <w:abstractNumId w:val="0"/>
  </w:num>
  <w:num w:numId="3" w16cid:durableId="1152331128">
    <w:abstractNumId w:val="6"/>
  </w:num>
  <w:num w:numId="4" w16cid:durableId="935211857">
    <w:abstractNumId w:val="2"/>
  </w:num>
  <w:num w:numId="5" w16cid:durableId="323514900">
    <w:abstractNumId w:val="4"/>
  </w:num>
  <w:num w:numId="6" w16cid:durableId="1750616360">
    <w:abstractNumId w:val="3"/>
  </w:num>
  <w:num w:numId="7" w16cid:durableId="780144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MbQwNTa1sDAzNDFV0lEKTi0uzszPAykwM6gFAGyNZ9stAAAA"/>
  </w:docVars>
  <w:rsids>
    <w:rsidRoot w:val="00CE5873"/>
    <w:rsid w:val="00003939"/>
    <w:rsid w:val="00004124"/>
    <w:rsid w:val="000066F5"/>
    <w:rsid w:val="00006CBB"/>
    <w:rsid w:val="00011F79"/>
    <w:rsid w:val="00014999"/>
    <w:rsid w:val="00014FE5"/>
    <w:rsid w:val="0001759B"/>
    <w:rsid w:val="00020554"/>
    <w:rsid w:val="00020F68"/>
    <w:rsid w:val="00021341"/>
    <w:rsid w:val="0002272C"/>
    <w:rsid w:val="00022B2D"/>
    <w:rsid w:val="000239C6"/>
    <w:rsid w:val="00023FA6"/>
    <w:rsid w:val="00025182"/>
    <w:rsid w:val="00025865"/>
    <w:rsid w:val="00030DA5"/>
    <w:rsid w:val="000312EE"/>
    <w:rsid w:val="00035099"/>
    <w:rsid w:val="00036713"/>
    <w:rsid w:val="00040A39"/>
    <w:rsid w:val="00042F27"/>
    <w:rsid w:val="000436D2"/>
    <w:rsid w:val="0004540C"/>
    <w:rsid w:val="00046878"/>
    <w:rsid w:val="000504A6"/>
    <w:rsid w:val="00051206"/>
    <w:rsid w:val="000518F3"/>
    <w:rsid w:val="0005323C"/>
    <w:rsid w:val="0005402E"/>
    <w:rsid w:val="00060F7D"/>
    <w:rsid w:val="00061404"/>
    <w:rsid w:val="0006326A"/>
    <w:rsid w:val="0006564F"/>
    <w:rsid w:val="000711AF"/>
    <w:rsid w:val="0007169C"/>
    <w:rsid w:val="00074957"/>
    <w:rsid w:val="0007634D"/>
    <w:rsid w:val="00076E76"/>
    <w:rsid w:val="000838C1"/>
    <w:rsid w:val="00084F38"/>
    <w:rsid w:val="0009111F"/>
    <w:rsid w:val="0009160A"/>
    <w:rsid w:val="000918F2"/>
    <w:rsid w:val="000923C9"/>
    <w:rsid w:val="000944BC"/>
    <w:rsid w:val="0009482D"/>
    <w:rsid w:val="00096170"/>
    <w:rsid w:val="00097D9E"/>
    <w:rsid w:val="000A04C0"/>
    <w:rsid w:val="000A15F6"/>
    <w:rsid w:val="000A17A8"/>
    <w:rsid w:val="000A7522"/>
    <w:rsid w:val="000B0818"/>
    <w:rsid w:val="000B1658"/>
    <w:rsid w:val="000B1819"/>
    <w:rsid w:val="000B2960"/>
    <w:rsid w:val="000B654F"/>
    <w:rsid w:val="000B6641"/>
    <w:rsid w:val="000B72A1"/>
    <w:rsid w:val="000B7586"/>
    <w:rsid w:val="000B785A"/>
    <w:rsid w:val="000C0D0E"/>
    <w:rsid w:val="000C2097"/>
    <w:rsid w:val="000C2D10"/>
    <w:rsid w:val="000D0199"/>
    <w:rsid w:val="000D0240"/>
    <w:rsid w:val="000D0319"/>
    <w:rsid w:val="000D0378"/>
    <w:rsid w:val="000D1E63"/>
    <w:rsid w:val="000D30D1"/>
    <w:rsid w:val="000D335D"/>
    <w:rsid w:val="000D4353"/>
    <w:rsid w:val="000D5B2A"/>
    <w:rsid w:val="000D6110"/>
    <w:rsid w:val="000D7FDA"/>
    <w:rsid w:val="000E05C6"/>
    <w:rsid w:val="000E0729"/>
    <w:rsid w:val="000E1EDA"/>
    <w:rsid w:val="000E2DA1"/>
    <w:rsid w:val="000E4271"/>
    <w:rsid w:val="000E62DE"/>
    <w:rsid w:val="000E6B9A"/>
    <w:rsid w:val="000E700A"/>
    <w:rsid w:val="000E790E"/>
    <w:rsid w:val="000F2384"/>
    <w:rsid w:val="000F26BC"/>
    <w:rsid w:val="000F3B14"/>
    <w:rsid w:val="000F4C88"/>
    <w:rsid w:val="000F4D31"/>
    <w:rsid w:val="000F6912"/>
    <w:rsid w:val="000F6CCD"/>
    <w:rsid w:val="000F6FDA"/>
    <w:rsid w:val="000F70AA"/>
    <w:rsid w:val="00102908"/>
    <w:rsid w:val="00103557"/>
    <w:rsid w:val="0010629C"/>
    <w:rsid w:val="00110142"/>
    <w:rsid w:val="001101C8"/>
    <w:rsid w:val="0011589D"/>
    <w:rsid w:val="001171CF"/>
    <w:rsid w:val="00120D7D"/>
    <w:rsid w:val="00121E35"/>
    <w:rsid w:val="00122428"/>
    <w:rsid w:val="0012541A"/>
    <w:rsid w:val="00126A2E"/>
    <w:rsid w:val="00131F71"/>
    <w:rsid w:val="00132264"/>
    <w:rsid w:val="00132D12"/>
    <w:rsid w:val="00135A7F"/>
    <w:rsid w:val="00135D0A"/>
    <w:rsid w:val="00136D0C"/>
    <w:rsid w:val="00141048"/>
    <w:rsid w:val="00142211"/>
    <w:rsid w:val="00142289"/>
    <w:rsid w:val="001442C0"/>
    <w:rsid w:val="0014516A"/>
    <w:rsid w:val="001462F8"/>
    <w:rsid w:val="00150F5D"/>
    <w:rsid w:val="00152433"/>
    <w:rsid w:val="00154038"/>
    <w:rsid w:val="0015454D"/>
    <w:rsid w:val="001545D9"/>
    <w:rsid w:val="00154A73"/>
    <w:rsid w:val="00155857"/>
    <w:rsid w:val="00157196"/>
    <w:rsid w:val="00160A3B"/>
    <w:rsid w:val="00161FDC"/>
    <w:rsid w:val="001663D2"/>
    <w:rsid w:val="00166410"/>
    <w:rsid w:val="001666DC"/>
    <w:rsid w:val="00167C01"/>
    <w:rsid w:val="0017082B"/>
    <w:rsid w:val="001736A1"/>
    <w:rsid w:val="0017381C"/>
    <w:rsid w:val="00176CF3"/>
    <w:rsid w:val="00177CA8"/>
    <w:rsid w:val="00181093"/>
    <w:rsid w:val="00184862"/>
    <w:rsid w:val="00185699"/>
    <w:rsid w:val="0018656F"/>
    <w:rsid w:val="00186F04"/>
    <w:rsid w:val="00190990"/>
    <w:rsid w:val="00190A00"/>
    <w:rsid w:val="001920D7"/>
    <w:rsid w:val="001933C4"/>
    <w:rsid w:val="00194212"/>
    <w:rsid w:val="00194EA4"/>
    <w:rsid w:val="00197032"/>
    <w:rsid w:val="001A0614"/>
    <w:rsid w:val="001A17E3"/>
    <w:rsid w:val="001A21B5"/>
    <w:rsid w:val="001A23BF"/>
    <w:rsid w:val="001A2596"/>
    <w:rsid w:val="001A34E7"/>
    <w:rsid w:val="001A384C"/>
    <w:rsid w:val="001A5D16"/>
    <w:rsid w:val="001A6CB1"/>
    <w:rsid w:val="001A70E2"/>
    <w:rsid w:val="001A715A"/>
    <w:rsid w:val="001B03F3"/>
    <w:rsid w:val="001B0A4D"/>
    <w:rsid w:val="001B1419"/>
    <w:rsid w:val="001B3D64"/>
    <w:rsid w:val="001B741B"/>
    <w:rsid w:val="001C0310"/>
    <w:rsid w:val="001C2FFE"/>
    <w:rsid w:val="001C647F"/>
    <w:rsid w:val="001C6B51"/>
    <w:rsid w:val="001C6D16"/>
    <w:rsid w:val="001C745E"/>
    <w:rsid w:val="001D01D0"/>
    <w:rsid w:val="001D0D05"/>
    <w:rsid w:val="001D1C42"/>
    <w:rsid w:val="001D263A"/>
    <w:rsid w:val="001D2766"/>
    <w:rsid w:val="001D2B84"/>
    <w:rsid w:val="001D3672"/>
    <w:rsid w:val="001D3E52"/>
    <w:rsid w:val="001D436E"/>
    <w:rsid w:val="001D49AF"/>
    <w:rsid w:val="001D71F5"/>
    <w:rsid w:val="001D7995"/>
    <w:rsid w:val="001E0A29"/>
    <w:rsid w:val="001E3495"/>
    <w:rsid w:val="001E6121"/>
    <w:rsid w:val="001E7B3C"/>
    <w:rsid w:val="001F0350"/>
    <w:rsid w:val="001F0FF6"/>
    <w:rsid w:val="001F1231"/>
    <w:rsid w:val="001F1724"/>
    <w:rsid w:val="001F30C5"/>
    <w:rsid w:val="001F3113"/>
    <w:rsid w:val="001F4413"/>
    <w:rsid w:val="001F5A99"/>
    <w:rsid w:val="001F70C3"/>
    <w:rsid w:val="001F73E1"/>
    <w:rsid w:val="001F7825"/>
    <w:rsid w:val="002000E6"/>
    <w:rsid w:val="002004FB"/>
    <w:rsid w:val="00200585"/>
    <w:rsid w:val="002006BA"/>
    <w:rsid w:val="00200E60"/>
    <w:rsid w:val="00200FC5"/>
    <w:rsid w:val="00202155"/>
    <w:rsid w:val="00204432"/>
    <w:rsid w:val="00205434"/>
    <w:rsid w:val="00206314"/>
    <w:rsid w:val="00207C50"/>
    <w:rsid w:val="00210155"/>
    <w:rsid w:val="00211303"/>
    <w:rsid w:val="00211B94"/>
    <w:rsid w:val="002122CB"/>
    <w:rsid w:val="002133D4"/>
    <w:rsid w:val="002150F8"/>
    <w:rsid w:val="00216384"/>
    <w:rsid w:val="00216BE4"/>
    <w:rsid w:val="00217636"/>
    <w:rsid w:val="00217A91"/>
    <w:rsid w:val="00217F2A"/>
    <w:rsid w:val="00220299"/>
    <w:rsid w:val="0022071B"/>
    <w:rsid w:val="002213ED"/>
    <w:rsid w:val="0022147F"/>
    <w:rsid w:val="0022394B"/>
    <w:rsid w:val="00224970"/>
    <w:rsid w:val="0022572A"/>
    <w:rsid w:val="002268C3"/>
    <w:rsid w:val="00226E7E"/>
    <w:rsid w:val="00226ED3"/>
    <w:rsid w:val="00230C5E"/>
    <w:rsid w:val="00230DAC"/>
    <w:rsid w:val="00230EB8"/>
    <w:rsid w:val="00231F8F"/>
    <w:rsid w:val="00232638"/>
    <w:rsid w:val="002332B3"/>
    <w:rsid w:val="00234272"/>
    <w:rsid w:val="00234CD7"/>
    <w:rsid w:val="002360D2"/>
    <w:rsid w:val="00237095"/>
    <w:rsid w:val="00237D02"/>
    <w:rsid w:val="0024001C"/>
    <w:rsid w:val="0024388F"/>
    <w:rsid w:val="0024420C"/>
    <w:rsid w:val="002467B4"/>
    <w:rsid w:val="00247E36"/>
    <w:rsid w:val="00250DF1"/>
    <w:rsid w:val="0025101E"/>
    <w:rsid w:val="002527CB"/>
    <w:rsid w:val="00252C20"/>
    <w:rsid w:val="00252CAE"/>
    <w:rsid w:val="002537AA"/>
    <w:rsid w:val="00253A8A"/>
    <w:rsid w:val="002559D8"/>
    <w:rsid w:val="002566F5"/>
    <w:rsid w:val="0026064B"/>
    <w:rsid w:val="00262133"/>
    <w:rsid w:val="00262532"/>
    <w:rsid w:val="00263064"/>
    <w:rsid w:val="00263558"/>
    <w:rsid w:val="00263FAC"/>
    <w:rsid w:val="00264E29"/>
    <w:rsid w:val="00266D92"/>
    <w:rsid w:val="00267DA4"/>
    <w:rsid w:val="0027168B"/>
    <w:rsid w:val="00271981"/>
    <w:rsid w:val="00272E31"/>
    <w:rsid w:val="00274917"/>
    <w:rsid w:val="00275764"/>
    <w:rsid w:val="0027689E"/>
    <w:rsid w:val="0027766B"/>
    <w:rsid w:val="00277928"/>
    <w:rsid w:val="00277E92"/>
    <w:rsid w:val="00277EEF"/>
    <w:rsid w:val="00283ECF"/>
    <w:rsid w:val="00284BC6"/>
    <w:rsid w:val="002904A2"/>
    <w:rsid w:val="00290EB6"/>
    <w:rsid w:val="002911E3"/>
    <w:rsid w:val="0029364D"/>
    <w:rsid w:val="0029520A"/>
    <w:rsid w:val="00295585"/>
    <w:rsid w:val="00297403"/>
    <w:rsid w:val="00297547"/>
    <w:rsid w:val="002A3831"/>
    <w:rsid w:val="002A3A62"/>
    <w:rsid w:val="002A3E5C"/>
    <w:rsid w:val="002A43A2"/>
    <w:rsid w:val="002A5AF3"/>
    <w:rsid w:val="002A5E09"/>
    <w:rsid w:val="002A61D3"/>
    <w:rsid w:val="002A67BA"/>
    <w:rsid w:val="002A683A"/>
    <w:rsid w:val="002A69E4"/>
    <w:rsid w:val="002B11BA"/>
    <w:rsid w:val="002B2604"/>
    <w:rsid w:val="002B267F"/>
    <w:rsid w:val="002B4AA4"/>
    <w:rsid w:val="002B4B65"/>
    <w:rsid w:val="002B5BF2"/>
    <w:rsid w:val="002B5D86"/>
    <w:rsid w:val="002B63F7"/>
    <w:rsid w:val="002B731F"/>
    <w:rsid w:val="002C0046"/>
    <w:rsid w:val="002C06E8"/>
    <w:rsid w:val="002C1472"/>
    <w:rsid w:val="002C1BCF"/>
    <w:rsid w:val="002C523A"/>
    <w:rsid w:val="002C708E"/>
    <w:rsid w:val="002C760B"/>
    <w:rsid w:val="002D021E"/>
    <w:rsid w:val="002D0504"/>
    <w:rsid w:val="002D0C9B"/>
    <w:rsid w:val="002D2B0E"/>
    <w:rsid w:val="002D3CA6"/>
    <w:rsid w:val="002D5734"/>
    <w:rsid w:val="002D5E17"/>
    <w:rsid w:val="002D7667"/>
    <w:rsid w:val="002E0B37"/>
    <w:rsid w:val="002E0D54"/>
    <w:rsid w:val="002E2E73"/>
    <w:rsid w:val="002E2F77"/>
    <w:rsid w:val="002E3CEA"/>
    <w:rsid w:val="002E46F2"/>
    <w:rsid w:val="002E4754"/>
    <w:rsid w:val="002E676C"/>
    <w:rsid w:val="002E7141"/>
    <w:rsid w:val="002E71F0"/>
    <w:rsid w:val="002E7794"/>
    <w:rsid w:val="002F12C1"/>
    <w:rsid w:val="002F42F2"/>
    <w:rsid w:val="002F65D4"/>
    <w:rsid w:val="002F6AEF"/>
    <w:rsid w:val="00302013"/>
    <w:rsid w:val="003051DD"/>
    <w:rsid w:val="003063AD"/>
    <w:rsid w:val="00306A3F"/>
    <w:rsid w:val="00307AE6"/>
    <w:rsid w:val="00307FBB"/>
    <w:rsid w:val="003102B4"/>
    <w:rsid w:val="00310455"/>
    <w:rsid w:val="00310C0D"/>
    <w:rsid w:val="00312C69"/>
    <w:rsid w:val="00313479"/>
    <w:rsid w:val="00313D4D"/>
    <w:rsid w:val="003156A1"/>
    <w:rsid w:val="00321BEE"/>
    <w:rsid w:val="00322B7B"/>
    <w:rsid w:val="0032316D"/>
    <w:rsid w:val="003238A2"/>
    <w:rsid w:val="003246B7"/>
    <w:rsid w:val="00327893"/>
    <w:rsid w:val="00330BFF"/>
    <w:rsid w:val="00331F5E"/>
    <w:rsid w:val="0033216D"/>
    <w:rsid w:val="0033606C"/>
    <w:rsid w:val="003364D5"/>
    <w:rsid w:val="00337213"/>
    <w:rsid w:val="00337792"/>
    <w:rsid w:val="00340EA1"/>
    <w:rsid w:val="00341966"/>
    <w:rsid w:val="00344317"/>
    <w:rsid w:val="00345030"/>
    <w:rsid w:val="00346258"/>
    <w:rsid w:val="003479F8"/>
    <w:rsid w:val="00347F2D"/>
    <w:rsid w:val="00352C18"/>
    <w:rsid w:val="00360C1E"/>
    <w:rsid w:val="00361D10"/>
    <w:rsid w:val="00363B44"/>
    <w:rsid w:val="003729A2"/>
    <w:rsid w:val="00372C12"/>
    <w:rsid w:val="00373CAA"/>
    <w:rsid w:val="00373F7C"/>
    <w:rsid w:val="003743A1"/>
    <w:rsid w:val="00375081"/>
    <w:rsid w:val="003760E0"/>
    <w:rsid w:val="003762D7"/>
    <w:rsid w:val="00377C85"/>
    <w:rsid w:val="0038014F"/>
    <w:rsid w:val="0038273C"/>
    <w:rsid w:val="003831DC"/>
    <w:rsid w:val="00384246"/>
    <w:rsid w:val="00385B42"/>
    <w:rsid w:val="003901EA"/>
    <w:rsid w:val="00390A3D"/>
    <w:rsid w:val="003910D9"/>
    <w:rsid w:val="00392181"/>
    <w:rsid w:val="00394A60"/>
    <w:rsid w:val="003963D5"/>
    <w:rsid w:val="003967BD"/>
    <w:rsid w:val="00396A1D"/>
    <w:rsid w:val="00397D72"/>
    <w:rsid w:val="003A1122"/>
    <w:rsid w:val="003A15B9"/>
    <w:rsid w:val="003A1D19"/>
    <w:rsid w:val="003A219E"/>
    <w:rsid w:val="003A2AD4"/>
    <w:rsid w:val="003A2DC4"/>
    <w:rsid w:val="003A3FE5"/>
    <w:rsid w:val="003A4184"/>
    <w:rsid w:val="003A5367"/>
    <w:rsid w:val="003A5982"/>
    <w:rsid w:val="003A5B94"/>
    <w:rsid w:val="003B005A"/>
    <w:rsid w:val="003B0578"/>
    <w:rsid w:val="003B3076"/>
    <w:rsid w:val="003B3093"/>
    <w:rsid w:val="003B30D8"/>
    <w:rsid w:val="003B7098"/>
    <w:rsid w:val="003B7B65"/>
    <w:rsid w:val="003C0E55"/>
    <w:rsid w:val="003C5F11"/>
    <w:rsid w:val="003D2B46"/>
    <w:rsid w:val="003D36B8"/>
    <w:rsid w:val="003D3730"/>
    <w:rsid w:val="003D3923"/>
    <w:rsid w:val="003D4E57"/>
    <w:rsid w:val="003D6179"/>
    <w:rsid w:val="003D70FF"/>
    <w:rsid w:val="003D7621"/>
    <w:rsid w:val="003D7DCD"/>
    <w:rsid w:val="003D7E93"/>
    <w:rsid w:val="003E10AF"/>
    <w:rsid w:val="003E2B81"/>
    <w:rsid w:val="003E42F6"/>
    <w:rsid w:val="003E4C1B"/>
    <w:rsid w:val="003E52C8"/>
    <w:rsid w:val="003E58BC"/>
    <w:rsid w:val="003E5BDA"/>
    <w:rsid w:val="003E6C59"/>
    <w:rsid w:val="003E7A38"/>
    <w:rsid w:val="003F0F42"/>
    <w:rsid w:val="003F0F87"/>
    <w:rsid w:val="003F22B4"/>
    <w:rsid w:val="003F320B"/>
    <w:rsid w:val="003F3454"/>
    <w:rsid w:val="003F3591"/>
    <w:rsid w:val="003F4FEF"/>
    <w:rsid w:val="003F657C"/>
    <w:rsid w:val="003F7C33"/>
    <w:rsid w:val="00400578"/>
    <w:rsid w:val="00402BB2"/>
    <w:rsid w:val="00404295"/>
    <w:rsid w:val="0041004C"/>
    <w:rsid w:val="00410A8E"/>
    <w:rsid w:val="00410BCF"/>
    <w:rsid w:val="00410EE4"/>
    <w:rsid w:val="00413DB4"/>
    <w:rsid w:val="0041553D"/>
    <w:rsid w:val="00415B6B"/>
    <w:rsid w:val="004163BB"/>
    <w:rsid w:val="00416BF7"/>
    <w:rsid w:val="00423750"/>
    <w:rsid w:val="00424A42"/>
    <w:rsid w:val="004251FC"/>
    <w:rsid w:val="00425F5A"/>
    <w:rsid w:val="00426BD0"/>
    <w:rsid w:val="00430189"/>
    <w:rsid w:val="00430753"/>
    <w:rsid w:val="004313E8"/>
    <w:rsid w:val="00431E8E"/>
    <w:rsid w:val="0043329C"/>
    <w:rsid w:val="00433A68"/>
    <w:rsid w:val="00433EEB"/>
    <w:rsid w:val="00435001"/>
    <w:rsid w:val="00435524"/>
    <w:rsid w:val="00435735"/>
    <w:rsid w:val="00435B59"/>
    <w:rsid w:val="00436ABF"/>
    <w:rsid w:val="0043770D"/>
    <w:rsid w:val="00437B5A"/>
    <w:rsid w:val="004413BD"/>
    <w:rsid w:val="00443359"/>
    <w:rsid w:val="00445629"/>
    <w:rsid w:val="00446CC3"/>
    <w:rsid w:val="00446D5D"/>
    <w:rsid w:val="00447A7E"/>
    <w:rsid w:val="00447B7F"/>
    <w:rsid w:val="00447F4D"/>
    <w:rsid w:val="00451C6E"/>
    <w:rsid w:val="00452C65"/>
    <w:rsid w:val="00452DC9"/>
    <w:rsid w:val="00454C0F"/>
    <w:rsid w:val="00456D65"/>
    <w:rsid w:val="00457051"/>
    <w:rsid w:val="004576D6"/>
    <w:rsid w:val="004608EB"/>
    <w:rsid w:val="00460CE3"/>
    <w:rsid w:val="00461D7B"/>
    <w:rsid w:val="00463246"/>
    <w:rsid w:val="0046339B"/>
    <w:rsid w:val="0046634B"/>
    <w:rsid w:val="0047233A"/>
    <w:rsid w:val="00475879"/>
    <w:rsid w:val="004813D6"/>
    <w:rsid w:val="00483EE9"/>
    <w:rsid w:val="00484CB9"/>
    <w:rsid w:val="0048632B"/>
    <w:rsid w:val="0048768B"/>
    <w:rsid w:val="00490266"/>
    <w:rsid w:val="004909C7"/>
    <w:rsid w:val="00490F9D"/>
    <w:rsid w:val="00493926"/>
    <w:rsid w:val="00493FEE"/>
    <w:rsid w:val="00494E03"/>
    <w:rsid w:val="0049547B"/>
    <w:rsid w:val="00497B2B"/>
    <w:rsid w:val="004A0F4E"/>
    <w:rsid w:val="004A1410"/>
    <w:rsid w:val="004A2AA4"/>
    <w:rsid w:val="004A3D0B"/>
    <w:rsid w:val="004A3EE2"/>
    <w:rsid w:val="004A411F"/>
    <w:rsid w:val="004A41D7"/>
    <w:rsid w:val="004A4464"/>
    <w:rsid w:val="004A5194"/>
    <w:rsid w:val="004A722E"/>
    <w:rsid w:val="004A74F2"/>
    <w:rsid w:val="004A7B75"/>
    <w:rsid w:val="004B0208"/>
    <w:rsid w:val="004B1ED2"/>
    <w:rsid w:val="004B2FEA"/>
    <w:rsid w:val="004B50A9"/>
    <w:rsid w:val="004B7FEE"/>
    <w:rsid w:val="004C0992"/>
    <w:rsid w:val="004C16DB"/>
    <w:rsid w:val="004C1BEE"/>
    <w:rsid w:val="004C28B1"/>
    <w:rsid w:val="004C2BFF"/>
    <w:rsid w:val="004C3BFD"/>
    <w:rsid w:val="004C3C90"/>
    <w:rsid w:val="004C4D18"/>
    <w:rsid w:val="004C6289"/>
    <w:rsid w:val="004C7849"/>
    <w:rsid w:val="004D12E4"/>
    <w:rsid w:val="004D1A25"/>
    <w:rsid w:val="004D26D9"/>
    <w:rsid w:val="004D2901"/>
    <w:rsid w:val="004D2FF6"/>
    <w:rsid w:val="004D3ABF"/>
    <w:rsid w:val="004D3FB3"/>
    <w:rsid w:val="004D5632"/>
    <w:rsid w:val="004D5E67"/>
    <w:rsid w:val="004D7071"/>
    <w:rsid w:val="004D72B0"/>
    <w:rsid w:val="004E1306"/>
    <w:rsid w:val="004E18C9"/>
    <w:rsid w:val="004E2E7A"/>
    <w:rsid w:val="004E319F"/>
    <w:rsid w:val="004E6BAD"/>
    <w:rsid w:val="004F04F9"/>
    <w:rsid w:val="004F0ADD"/>
    <w:rsid w:val="004F1ED1"/>
    <w:rsid w:val="004F24C3"/>
    <w:rsid w:val="004F2ECB"/>
    <w:rsid w:val="004F3449"/>
    <w:rsid w:val="004F35DC"/>
    <w:rsid w:val="004F3725"/>
    <w:rsid w:val="004F39C3"/>
    <w:rsid w:val="004F3C24"/>
    <w:rsid w:val="004F4B4F"/>
    <w:rsid w:val="004F5D8B"/>
    <w:rsid w:val="004F625A"/>
    <w:rsid w:val="004F6D62"/>
    <w:rsid w:val="00500A6B"/>
    <w:rsid w:val="005047A8"/>
    <w:rsid w:val="00505A3B"/>
    <w:rsid w:val="00506254"/>
    <w:rsid w:val="00507910"/>
    <w:rsid w:val="005113FE"/>
    <w:rsid w:val="00513085"/>
    <w:rsid w:val="0051392F"/>
    <w:rsid w:val="0051422B"/>
    <w:rsid w:val="0051557F"/>
    <w:rsid w:val="00516805"/>
    <w:rsid w:val="0051697E"/>
    <w:rsid w:val="00516D40"/>
    <w:rsid w:val="00517757"/>
    <w:rsid w:val="00522506"/>
    <w:rsid w:val="00523390"/>
    <w:rsid w:val="00525416"/>
    <w:rsid w:val="00527BE5"/>
    <w:rsid w:val="00530C0D"/>
    <w:rsid w:val="005313D8"/>
    <w:rsid w:val="00533F8A"/>
    <w:rsid w:val="00542182"/>
    <w:rsid w:val="005430D6"/>
    <w:rsid w:val="005439AE"/>
    <w:rsid w:val="00543D5A"/>
    <w:rsid w:val="005445F6"/>
    <w:rsid w:val="00544F5A"/>
    <w:rsid w:val="005450BD"/>
    <w:rsid w:val="00545176"/>
    <w:rsid w:val="0054586D"/>
    <w:rsid w:val="00547F0C"/>
    <w:rsid w:val="00550219"/>
    <w:rsid w:val="005505AA"/>
    <w:rsid w:val="005514A6"/>
    <w:rsid w:val="00551E61"/>
    <w:rsid w:val="0055554C"/>
    <w:rsid w:val="00556836"/>
    <w:rsid w:val="0055695F"/>
    <w:rsid w:val="00556CFB"/>
    <w:rsid w:val="00560CDF"/>
    <w:rsid w:val="00562DD6"/>
    <w:rsid w:val="0056361B"/>
    <w:rsid w:val="0056427B"/>
    <w:rsid w:val="005701A4"/>
    <w:rsid w:val="00571F28"/>
    <w:rsid w:val="0057245C"/>
    <w:rsid w:val="005728BB"/>
    <w:rsid w:val="0057292E"/>
    <w:rsid w:val="00572E5F"/>
    <w:rsid w:val="00572FC5"/>
    <w:rsid w:val="00574303"/>
    <w:rsid w:val="00575361"/>
    <w:rsid w:val="0057631F"/>
    <w:rsid w:val="00580A05"/>
    <w:rsid w:val="00580A54"/>
    <w:rsid w:val="005838D7"/>
    <w:rsid w:val="00585239"/>
    <w:rsid w:val="00585411"/>
    <w:rsid w:val="00586DAA"/>
    <w:rsid w:val="0058775E"/>
    <w:rsid w:val="00587DD9"/>
    <w:rsid w:val="005950B3"/>
    <w:rsid w:val="0059550B"/>
    <w:rsid w:val="0059636E"/>
    <w:rsid w:val="005A050F"/>
    <w:rsid w:val="005A1BDB"/>
    <w:rsid w:val="005A3D68"/>
    <w:rsid w:val="005A50E7"/>
    <w:rsid w:val="005A57E8"/>
    <w:rsid w:val="005B18C8"/>
    <w:rsid w:val="005B22F3"/>
    <w:rsid w:val="005B284E"/>
    <w:rsid w:val="005B4F37"/>
    <w:rsid w:val="005B6F85"/>
    <w:rsid w:val="005B7653"/>
    <w:rsid w:val="005C0F64"/>
    <w:rsid w:val="005C117F"/>
    <w:rsid w:val="005C28F7"/>
    <w:rsid w:val="005C32A3"/>
    <w:rsid w:val="005C45F2"/>
    <w:rsid w:val="005C4872"/>
    <w:rsid w:val="005C613C"/>
    <w:rsid w:val="005D0552"/>
    <w:rsid w:val="005D0F92"/>
    <w:rsid w:val="005D13E8"/>
    <w:rsid w:val="005D2E00"/>
    <w:rsid w:val="005D4114"/>
    <w:rsid w:val="005D493C"/>
    <w:rsid w:val="005D52D4"/>
    <w:rsid w:val="005D5E8B"/>
    <w:rsid w:val="005E26DC"/>
    <w:rsid w:val="005E2A0F"/>
    <w:rsid w:val="005E40B0"/>
    <w:rsid w:val="005E7F18"/>
    <w:rsid w:val="005F1614"/>
    <w:rsid w:val="005F1BC6"/>
    <w:rsid w:val="005F20B0"/>
    <w:rsid w:val="005F2A74"/>
    <w:rsid w:val="005F3420"/>
    <w:rsid w:val="005F3912"/>
    <w:rsid w:val="005F4E28"/>
    <w:rsid w:val="005F4FE2"/>
    <w:rsid w:val="005F55EB"/>
    <w:rsid w:val="005F6B3D"/>
    <w:rsid w:val="005F7550"/>
    <w:rsid w:val="00602935"/>
    <w:rsid w:val="00602F06"/>
    <w:rsid w:val="00605E80"/>
    <w:rsid w:val="006065E9"/>
    <w:rsid w:val="00606DBD"/>
    <w:rsid w:val="006074A5"/>
    <w:rsid w:val="00607DFB"/>
    <w:rsid w:val="00610806"/>
    <w:rsid w:val="006112E8"/>
    <w:rsid w:val="00611719"/>
    <w:rsid w:val="00611A06"/>
    <w:rsid w:val="00611D1C"/>
    <w:rsid w:val="00613E0A"/>
    <w:rsid w:val="00614F71"/>
    <w:rsid w:val="00616091"/>
    <w:rsid w:val="00620038"/>
    <w:rsid w:val="00620CFC"/>
    <w:rsid w:val="00620E4B"/>
    <w:rsid w:val="006211A6"/>
    <w:rsid w:val="00621750"/>
    <w:rsid w:val="00621B67"/>
    <w:rsid w:val="00622394"/>
    <w:rsid w:val="00622A71"/>
    <w:rsid w:val="00623BDE"/>
    <w:rsid w:val="00624F6C"/>
    <w:rsid w:val="00626BB7"/>
    <w:rsid w:val="0062740E"/>
    <w:rsid w:val="0063124F"/>
    <w:rsid w:val="006315F6"/>
    <w:rsid w:val="00631E27"/>
    <w:rsid w:val="00632486"/>
    <w:rsid w:val="006338D8"/>
    <w:rsid w:val="006354DE"/>
    <w:rsid w:val="00635501"/>
    <w:rsid w:val="006361E6"/>
    <w:rsid w:val="00640387"/>
    <w:rsid w:val="00641C71"/>
    <w:rsid w:val="00641FDC"/>
    <w:rsid w:val="006421FA"/>
    <w:rsid w:val="00642398"/>
    <w:rsid w:val="0064268D"/>
    <w:rsid w:val="0064534F"/>
    <w:rsid w:val="00646F4F"/>
    <w:rsid w:val="0065095D"/>
    <w:rsid w:val="0065114F"/>
    <w:rsid w:val="00651F8D"/>
    <w:rsid w:val="0065270B"/>
    <w:rsid w:val="006543F5"/>
    <w:rsid w:val="006553CE"/>
    <w:rsid w:val="00655BEB"/>
    <w:rsid w:val="00655CB4"/>
    <w:rsid w:val="00656E24"/>
    <w:rsid w:val="006573B6"/>
    <w:rsid w:val="00657FDE"/>
    <w:rsid w:val="006626A9"/>
    <w:rsid w:val="00662E9E"/>
    <w:rsid w:val="006632A3"/>
    <w:rsid w:val="006646C2"/>
    <w:rsid w:val="00665E94"/>
    <w:rsid w:val="00667D69"/>
    <w:rsid w:val="006724F5"/>
    <w:rsid w:val="00672EF0"/>
    <w:rsid w:val="00672FAE"/>
    <w:rsid w:val="00674543"/>
    <w:rsid w:val="00675A8C"/>
    <w:rsid w:val="006769CE"/>
    <w:rsid w:val="00676BD9"/>
    <w:rsid w:val="0067769A"/>
    <w:rsid w:val="00682385"/>
    <w:rsid w:val="006823CA"/>
    <w:rsid w:val="00684660"/>
    <w:rsid w:val="006861E1"/>
    <w:rsid w:val="00686A45"/>
    <w:rsid w:val="00686B93"/>
    <w:rsid w:val="00687C1C"/>
    <w:rsid w:val="00687C88"/>
    <w:rsid w:val="00690CB7"/>
    <w:rsid w:val="006912BC"/>
    <w:rsid w:val="006943F3"/>
    <w:rsid w:val="00694F34"/>
    <w:rsid w:val="00694F87"/>
    <w:rsid w:val="0069599B"/>
    <w:rsid w:val="0069754D"/>
    <w:rsid w:val="006979C8"/>
    <w:rsid w:val="006A114F"/>
    <w:rsid w:val="006A11A4"/>
    <w:rsid w:val="006A1661"/>
    <w:rsid w:val="006A2105"/>
    <w:rsid w:val="006A4F4E"/>
    <w:rsid w:val="006A5340"/>
    <w:rsid w:val="006A706C"/>
    <w:rsid w:val="006A7219"/>
    <w:rsid w:val="006A7BB8"/>
    <w:rsid w:val="006B1132"/>
    <w:rsid w:val="006B3B06"/>
    <w:rsid w:val="006B4AAE"/>
    <w:rsid w:val="006B5DB5"/>
    <w:rsid w:val="006B5FF1"/>
    <w:rsid w:val="006C264D"/>
    <w:rsid w:val="006C299E"/>
    <w:rsid w:val="006C3D00"/>
    <w:rsid w:val="006C6A04"/>
    <w:rsid w:val="006C6EF0"/>
    <w:rsid w:val="006C707A"/>
    <w:rsid w:val="006D30BC"/>
    <w:rsid w:val="006D4A7F"/>
    <w:rsid w:val="006D7D25"/>
    <w:rsid w:val="006E175A"/>
    <w:rsid w:val="006E181D"/>
    <w:rsid w:val="006E328D"/>
    <w:rsid w:val="006E3B9E"/>
    <w:rsid w:val="006E4007"/>
    <w:rsid w:val="006E4A8A"/>
    <w:rsid w:val="006E4E7F"/>
    <w:rsid w:val="006E6E91"/>
    <w:rsid w:val="006F03A8"/>
    <w:rsid w:val="006F08A6"/>
    <w:rsid w:val="006F0DF2"/>
    <w:rsid w:val="006F168D"/>
    <w:rsid w:val="006F1C0E"/>
    <w:rsid w:val="006F3661"/>
    <w:rsid w:val="006F5254"/>
    <w:rsid w:val="006F675A"/>
    <w:rsid w:val="006F76C6"/>
    <w:rsid w:val="006F77E2"/>
    <w:rsid w:val="007003A5"/>
    <w:rsid w:val="00701D13"/>
    <w:rsid w:val="00703471"/>
    <w:rsid w:val="007044A3"/>
    <w:rsid w:val="00704F37"/>
    <w:rsid w:val="00706FE4"/>
    <w:rsid w:val="00707845"/>
    <w:rsid w:val="00711A93"/>
    <w:rsid w:val="00711F6D"/>
    <w:rsid w:val="007136D7"/>
    <w:rsid w:val="00716174"/>
    <w:rsid w:val="00720ABE"/>
    <w:rsid w:val="00721C6A"/>
    <w:rsid w:val="00721ECD"/>
    <w:rsid w:val="00723920"/>
    <w:rsid w:val="0072533A"/>
    <w:rsid w:val="007262DD"/>
    <w:rsid w:val="007276C4"/>
    <w:rsid w:val="00727789"/>
    <w:rsid w:val="00727DA6"/>
    <w:rsid w:val="00731CDB"/>
    <w:rsid w:val="00732086"/>
    <w:rsid w:val="00732390"/>
    <w:rsid w:val="00733981"/>
    <w:rsid w:val="00736505"/>
    <w:rsid w:val="007370CE"/>
    <w:rsid w:val="007378E2"/>
    <w:rsid w:val="00737E49"/>
    <w:rsid w:val="00740344"/>
    <w:rsid w:val="007408FC"/>
    <w:rsid w:val="00741D1F"/>
    <w:rsid w:val="00744015"/>
    <w:rsid w:val="00745268"/>
    <w:rsid w:val="007458C5"/>
    <w:rsid w:val="0074644F"/>
    <w:rsid w:val="00746E91"/>
    <w:rsid w:val="00750C77"/>
    <w:rsid w:val="00751756"/>
    <w:rsid w:val="00752F32"/>
    <w:rsid w:val="00753857"/>
    <w:rsid w:val="007545B1"/>
    <w:rsid w:val="007569E0"/>
    <w:rsid w:val="00760489"/>
    <w:rsid w:val="00761B48"/>
    <w:rsid w:val="00763C29"/>
    <w:rsid w:val="0076545B"/>
    <w:rsid w:val="00766BB5"/>
    <w:rsid w:val="007670AB"/>
    <w:rsid w:val="007675ED"/>
    <w:rsid w:val="00770681"/>
    <w:rsid w:val="00771748"/>
    <w:rsid w:val="00772736"/>
    <w:rsid w:val="007745A7"/>
    <w:rsid w:val="00775759"/>
    <w:rsid w:val="00776913"/>
    <w:rsid w:val="0078167F"/>
    <w:rsid w:val="00782673"/>
    <w:rsid w:val="00783CF8"/>
    <w:rsid w:val="007841AC"/>
    <w:rsid w:val="007842DE"/>
    <w:rsid w:val="00784440"/>
    <w:rsid w:val="007850D8"/>
    <w:rsid w:val="0078526D"/>
    <w:rsid w:val="0078615A"/>
    <w:rsid w:val="00791AB5"/>
    <w:rsid w:val="007922E4"/>
    <w:rsid w:val="007942FF"/>
    <w:rsid w:val="00794B8B"/>
    <w:rsid w:val="00795070"/>
    <w:rsid w:val="007960A2"/>
    <w:rsid w:val="007A12AA"/>
    <w:rsid w:val="007A15A1"/>
    <w:rsid w:val="007A2A1C"/>
    <w:rsid w:val="007A2FEC"/>
    <w:rsid w:val="007A3A5A"/>
    <w:rsid w:val="007A3B1F"/>
    <w:rsid w:val="007A4253"/>
    <w:rsid w:val="007A474D"/>
    <w:rsid w:val="007B033F"/>
    <w:rsid w:val="007B1AC7"/>
    <w:rsid w:val="007B22F5"/>
    <w:rsid w:val="007B411E"/>
    <w:rsid w:val="007B5CE6"/>
    <w:rsid w:val="007B6957"/>
    <w:rsid w:val="007B6E64"/>
    <w:rsid w:val="007C0392"/>
    <w:rsid w:val="007C0F27"/>
    <w:rsid w:val="007C154B"/>
    <w:rsid w:val="007C78DA"/>
    <w:rsid w:val="007D3319"/>
    <w:rsid w:val="007D3CA9"/>
    <w:rsid w:val="007D45F6"/>
    <w:rsid w:val="007E1883"/>
    <w:rsid w:val="007E2CD0"/>
    <w:rsid w:val="007E374F"/>
    <w:rsid w:val="007E3B0A"/>
    <w:rsid w:val="007E6375"/>
    <w:rsid w:val="007E759A"/>
    <w:rsid w:val="007E795E"/>
    <w:rsid w:val="007F184A"/>
    <w:rsid w:val="007F18B4"/>
    <w:rsid w:val="007F2738"/>
    <w:rsid w:val="007F2B29"/>
    <w:rsid w:val="007F2E51"/>
    <w:rsid w:val="007F3913"/>
    <w:rsid w:val="007F4C0D"/>
    <w:rsid w:val="007F4C56"/>
    <w:rsid w:val="007F5F6E"/>
    <w:rsid w:val="007F6E79"/>
    <w:rsid w:val="007F74EE"/>
    <w:rsid w:val="007F7FAA"/>
    <w:rsid w:val="00800438"/>
    <w:rsid w:val="008004A3"/>
    <w:rsid w:val="008028D4"/>
    <w:rsid w:val="00806DA5"/>
    <w:rsid w:val="00811232"/>
    <w:rsid w:val="00811F7E"/>
    <w:rsid w:val="00814CF8"/>
    <w:rsid w:val="00815643"/>
    <w:rsid w:val="00817119"/>
    <w:rsid w:val="00817752"/>
    <w:rsid w:val="008201B7"/>
    <w:rsid w:val="00820B85"/>
    <w:rsid w:val="00822307"/>
    <w:rsid w:val="008227CA"/>
    <w:rsid w:val="00823391"/>
    <w:rsid w:val="00823DCD"/>
    <w:rsid w:val="008252C6"/>
    <w:rsid w:val="0082582D"/>
    <w:rsid w:val="00827878"/>
    <w:rsid w:val="00830441"/>
    <w:rsid w:val="0083074A"/>
    <w:rsid w:val="00831235"/>
    <w:rsid w:val="00832449"/>
    <w:rsid w:val="00832F0D"/>
    <w:rsid w:val="008346A4"/>
    <w:rsid w:val="00834A44"/>
    <w:rsid w:val="00834E5F"/>
    <w:rsid w:val="00836021"/>
    <w:rsid w:val="008368C3"/>
    <w:rsid w:val="00837901"/>
    <w:rsid w:val="00840596"/>
    <w:rsid w:val="00842569"/>
    <w:rsid w:val="008432D2"/>
    <w:rsid w:val="00843784"/>
    <w:rsid w:val="00845235"/>
    <w:rsid w:val="00847572"/>
    <w:rsid w:val="00847FA8"/>
    <w:rsid w:val="00850113"/>
    <w:rsid w:val="00850682"/>
    <w:rsid w:val="00850D98"/>
    <w:rsid w:val="0085748C"/>
    <w:rsid w:val="00857840"/>
    <w:rsid w:val="008612B0"/>
    <w:rsid w:val="00861898"/>
    <w:rsid w:val="00863477"/>
    <w:rsid w:val="008656A6"/>
    <w:rsid w:val="00873752"/>
    <w:rsid w:val="008747B9"/>
    <w:rsid w:val="00875513"/>
    <w:rsid w:val="00875775"/>
    <w:rsid w:val="00875915"/>
    <w:rsid w:val="00875A0C"/>
    <w:rsid w:val="00875C06"/>
    <w:rsid w:val="00875CD1"/>
    <w:rsid w:val="008765F5"/>
    <w:rsid w:val="00882240"/>
    <w:rsid w:val="00883004"/>
    <w:rsid w:val="008833B5"/>
    <w:rsid w:val="00884E84"/>
    <w:rsid w:val="008868D7"/>
    <w:rsid w:val="00886FAE"/>
    <w:rsid w:val="00887EBA"/>
    <w:rsid w:val="008901CF"/>
    <w:rsid w:val="0089201B"/>
    <w:rsid w:val="00892B55"/>
    <w:rsid w:val="00895001"/>
    <w:rsid w:val="008958D6"/>
    <w:rsid w:val="00897FCE"/>
    <w:rsid w:val="008A1C10"/>
    <w:rsid w:val="008A4F11"/>
    <w:rsid w:val="008A6DD8"/>
    <w:rsid w:val="008B0C10"/>
    <w:rsid w:val="008B6082"/>
    <w:rsid w:val="008B6CF5"/>
    <w:rsid w:val="008B7194"/>
    <w:rsid w:val="008C118D"/>
    <w:rsid w:val="008C181A"/>
    <w:rsid w:val="008C2B1D"/>
    <w:rsid w:val="008C3A33"/>
    <w:rsid w:val="008C41DE"/>
    <w:rsid w:val="008C53A6"/>
    <w:rsid w:val="008C6A8C"/>
    <w:rsid w:val="008C78FB"/>
    <w:rsid w:val="008D2130"/>
    <w:rsid w:val="008D2696"/>
    <w:rsid w:val="008D4E86"/>
    <w:rsid w:val="008D567A"/>
    <w:rsid w:val="008D5842"/>
    <w:rsid w:val="008D66A5"/>
    <w:rsid w:val="008D72F8"/>
    <w:rsid w:val="008D77C0"/>
    <w:rsid w:val="008E05A0"/>
    <w:rsid w:val="008E3273"/>
    <w:rsid w:val="008E42EC"/>
    <w:rsid w:val="008E4565"/>
    <w:rsid w:val="008E4F32"/>
    <w:rsid w:val="008E5018"/>
    <w:rsid w:val="008E561B"/>
    <w:rsid w:val="008E5A52"/>
    <w:rsid w:val="008E64AE"/>
    <w:rsid w:val="008F07E3"/>
    <w:rsid w:val="008F22D3"/>
    <w:rsid w:val="008F2D16"/>
    <w:rsid w:val="008F400A"/>
    <w:rsid w:val="008F4477"/>
    <w:rsid w:val="008F52AE"/>
    <w:rsid w:val="0090189E"/>
    <w:rsid w:val="0090222D"/>
    <w:rsid w:val="00903819"/>
    <w:rsid w:val="00904D25"/>
    <w:rsid w:val="009057DD"/>
    <w:rsid w:val="00905B79"/>
    <w:rsid w:val="00913843"/>
    <w:rsid w:val="00913A33"/>
    <w:rsid w:val="00916C2E"/>
    <w:rsid w:val="009208EF"/>
    <w:rsid w:val="0092284E"/>
    <w:rsid w:val="009228A9"/>
    <w:rsid w:val="00923A63"/>
    <w:rsid w:val="009246F8"/>
    <w:rsid w:val="00924C33"/>
    <w:rsid w:val="00926DC3"/>
    <w:rsid w:val="00927613"/>
    <w:rsid w:val="0093095D"/>
    <w:rsid w:val="009327E3"/>
    <w:rsid w:val="00932B9F"/>
    <w:rsid w:val="00934E37"/>
    <w:rsid w:val="00935B06"/>
    <w:rsid w:val="00935E7D"/>
    <w:rsid w:val="00936C0D"/>
    <w:rsid w:val="00937CC8"/>
    <w:rsid w:val="00940EC4"/>
    <w:rsid w:val="00943BC4"/>
    <w:rsid w:val="00943BCC"/>
    <w:rsid w:val="009450C0"/>
    <w:rsid w:val="0094569F"/>
    <w:rsid w:val="009472E1"/>
    <w:rsid w:val="00947444"/>
    <w:rsid w:val="009516B3"/>
    <w:rsid w:val="00951E0F"/>
    <w:rsid w:val="0095234F"/>
    <w:rsid w:val="009531D7"/>
    <w:rsid w:val="00953510"/>
    <w:rsid w:val="00953820"/>
    <w:rsid w:val="00954A19"/>
    <w:rsid w:val="00956169"/>
    <w:rsid w:val="009564BF"/>
    <w:rsid w:val="009574FB"/>
    <w:rsid w:val="0095768E"/>
    <w:rsid w:val="009601EE"/>
    <w:rsid w:val="00961B19"/>
    <w:rsid w:val="00962C82"/>
    <w:rsid w:val="009633AA"/>
    <w:rsid w:val="00963CEB"/>
    <w:rsid w:val="009653E1"/>
    <w:rsid w:val="009658D7"/>
    <w:rsid w:val="0096621E"/>
    <w:rsid w:val="00966B89"/>
    <w:rsid w:val="00967ED7"/>
    <w:rsid w:val="00970AF7"/>
    <w:rsid w:val="00970B6D"/>
    <w:rsid w:val="00971AE1"/>
    <w:rsid w:val="00973701"/>
    <w:rsid w:val="00975D7B"/>
    <w:rsid w:val="00976F4E"/>
    <w:rsid w:val="00981BE4"/>
    <w:rsid w:val="009841FD"/>
    <w:rsid w:val="00985A10"/>
    <w:rsid w:val="00986AA1"/>
    <w:rsid w:val="0098770B"/>
    <w:rsid w:val="009911E0"/>
    <w:rsid w:val="0099195E"/>
    <w:rsid w:val="0099662E"/>
    <w:rsid w:val="009A0041"/>
    <w:rsid w:val="009A1B33"/>
    <w:rsid w:val="009A2884"/>
    <w:rsid w:val="009A3D5B"/>
    <w:rsid w:val="009A7657"/>
    <w:rsid w:val="009A7689"/>
    <w:rsid w:val="009A7C84"/>
    <w:rsid w:val="009A7FCC"/>
    <w:rsid w:val="009B06AB"/>
    <w:rsid w:val="009B1CE9"/>
    <w:rsid w:val="009B33F5"/>
    <w:rsid w:val="009B3B9F"/>
    <w:rsid w:val="009B4D18"/>
    <w:rsid w:val="009C0183"/>
    <w:rsid w:val="009C1453"/>
    <w:rsid w:val="009C37B4"/>
    <w:rsid w:val="009C3917"/>
    <w:rsid w:val="009C4C2E"/>
    <w:rsid w:val="009C5161"/>
    <w:rsid w:val="009C64C5"/>
    <w:rsid w:val="009D4A73"/>
    <w:rsid w:val="009E11C2"/>
    <w:rsid w:val="009E3B33"/>
    <w:rsid w:val="009E3C64"/>
    <w:rsid w:val="009E406E"/>
    <w:rsid w:val="009E5A69"/>
    <w:rsid w:val="009F0243"/>
    <w:rsid w:val="009F0CD0"/>
    <w:rsid w:val="009F18E9"/>
    <w:rsid w:val="009F358B"/>
    <w:rsid w:val="009F3E48"/>
    <w:rsid w:val="009F515B"/>
    <w:rsid w:val="009F7605"/>
    <w:rsid w:val="00A02557"/>
    <w:rsid w:val="00A03A8E"/>
    <w:rsid w:val="00A05C71"/>
    <w:rsid w:val="00A12A41"/>
    <w:rsid w:val="00A15A6B"/>
    <w:rsid w:val="00A16A5A"/>
    <w:rsid w:val="00A17A60"/>
    <w:rsid w:val="00A22087"/>
    <w:rsid w:val="00A23C8E"/>
    <w:rsid w:val="00A249EC"/>
    <w:rsid w:val="00A263B7"/>
    <w:rsid w:val="00A27960"/>
    <w:rsid w:val="00A302E8"/>
    <w:rsid w:val="00A33572"/>
    <w:rsid w:val="00A36A79"/>
    <w:rsid w:val="00A422DB"/>
    <w:rsid w:val="00A428D6"/>
    <w:rsid w:val="00A44174"/>
    <w:rsid w:val="00A465F9"/>
    <w:rsid w:val="00A46A85"/>
    <w:rsid w:val="00A47062"/>
    <w:rsid w:val="00A4710A"/>
    <w:rsid w:val="00A4751C"/>
    <w:rsid w:val="00A475D9"/>
    <w:rsid w:val="00A47B22"/>
    <w:rsid w:val="00A50E79"/>
    <w:rsid w:val="00A52BE5"/>
    <w:rsid w:val="00A53A55"/>
    <w:rsid w:val="00A55A24"/>
    <w:rsid w:val="00A55B26"/>
    <w:rsid w:val="00A56B88"/>
    <w:rsid w:val="00A57FF4"/>
    <w:rsid w:val="00A601EC"/>
    <w:rsid w:val="00A60AE5"/>
    <w:rsid w:val="00A60B10"/>
    <w:rsid w:val="00A61985"/>
    <w:rsid w:val="00A622EA"/>
    <w:rsid w:val="00A64136"/>
    <w:rsid w:val="00A7066B"/>
    <w:rsid w:val="00A70823"/>
    <w:rsid w:val="00A71265"/>
    <w:rsid w:val="00A7134E"/>
    <w:rsid w:val="00A75259"/>
    <w:rsid w:val="00A76C7A"/>
    <w:rsid w:val="00A77150"/>
    <w:rsid w:val="00A772F1"/>
    <w:rsid w:val="00A8515E"/>
    <w:rsid w:val="00A8650A"/>
    <w:rsid w:val="00A86C8B"/>
    <w:rsid w:val="00A910EC"/>
    <w:rsid w:val="00A92525"/>
    <w:rsid w:val="00A93ED4"/>
    <w:rsid w:val="00A93F13"/>
    <w:rsid w:val="00A972A8"/>
    <w:rsid w:val="00AA031A"/>
    <w:rsid w:val="00AA2BA6"/>
    <w:rsid w:val="00AA5BF2"/>
    <w:rsid w:val="00AA687D"/>
    <w:rsid w:val="00AB01C2"/>
    <w:rsid w:val="00AB02FB"/>
    <w:rsid w:val="00AB0D48"/>
    <w:rsid w:val="00AB18C2"/>
    <w:rsid w:val="00AB1E23"/>
    <w:rsid w:val="00AB4B15"/>
    <w:rsid w:val="00AB505B"/>
    <w:rsid w:val="00AB5E30"/>
    <w:rsid w:val="00AB63A0"/>
    <w:rsid w:val="00AC1A28"/>
    <w:rsid w:val="00AC52E4"/>
    <w:rsid w:val="00AC6427"/>
    <w:rsid w:val="00AC6711"/>
    <w:rsid w:val="00AC6809"/>
    <w:rsid w:val="00AC6A7F"/>
    <w:rsid w:val="00AC6DBF"/>
    <w:rsid w:val="00AC773F"/>
    <w:rsid w:val="00AD09D7"/>
    <w:rsid w:val="00AD1551"/>
    <w:rsid w:val="00AD1E57"/>
    <w:rsid w:val="00AD1EA9"/>
    <w:rsid w:val="00AD31A8"/>
    <w:rsid w:val="00AD58A6"/>
    <w:rsid w:val="00AD5B1F"/>
    <w:rsid w:val="00AE1EFD"/>
    <w:rsid w:val="00AE21B1"/>
    <w:rsid w:val="00AE2740"/>
    <w:rsid w:val="00AE2A54"/>
    <w:rsid w:val="00AE57DC"/>
    <w:rsid w:val="00AE5DF8"/>
    <w:rsid w:val="00AF2D83"/>
    <w:rsid w:val="00AF4454"/>
    <w:rsid w:val="00AF63EC"/>
    <w:rsid w:val="00AF6667"/>
    <w:rsid w:val="00AF6931"/>
    <w:rsid w:val="00AF6A9A"/>
    <w:rsid w:val="00B0003A"/>
    <w:rsid w:val="00B034EA"/>
    <w:rsid w:val="00B035D6"/>
    <w:rsid w:val="00B0620F"/>
    <w:rsid w:val="00B15BCF"/>
    <w:rsid w:val="00B15C33"/>
    <w:rsid w:val="00B16B72"/>
    <w:rsid w:val="00B16CDF"/>
    <w:rsid w:val="00B20460"/>
    <w:rsid w:val="00B22D93"/>
    <w:rsid w:val="00B23B3E"/>
    <w:rsid w:val="00B246C4"/>
    <w:rsid w:val="00B25504"/>
    <w:rsid w:val="00B262FE"/>
    <w:rsid w:val="00B267A2"/>
    <w:rsid w:val="00B26900"/>
    <w:rsid w:val="00B27C6B"/>
    <w:rsid w:val="00B31ACD"/>
    <w:rsid w:val="00B324FB"/>
    <w:rsid w:val="00B36565"/>
    <w:rsid w:val="00B37B65"/>
    <w:rsid w:val="00B40801"/>
    <w:rsid w:val="00B409FC"/>
    <w:rsid w:val="00B414DB"/>
    <w:rsid w:val="00B42819"/>
    <w:rsid w:val="00B435FB"/>
    <w:rsid w:val="00B436CB"/>
    <w:rsid w:val="00B44561"/>
    <w:rsid w:val="00B4472B"/>
    <w:rsid w:val="00B4675D"/>
    <w:rsid w:val="00B4698E"/>
    <w:rsid w:val="00B475A3"/>
    <w:rsid w:val="00B50838"/>
    <w:rsid w:val="00B512DD"/>
    <w:rsid w:val="00B52DCE"/>
    <w:rsid w:val="00B543A9"/>
    <w:rsid w:val="00B57024"/>
    <w:rsid w:val="00B57947"/>
    <w:rsid w:val="00B579AF"/>
    <w:rsid w:val="00B6038D"/>
    <w:rsid w:val="00B61D60"/>
    <w:rsid w:val="00B62643"/>
    <w:rsid w:val="00B63D03"/>
    <w:rsid w:val="00B6521A"/>
    <w:rsid w:val="00B654BD"/>
    <w:rsid w:val="00B662AD"/>
    <w:rsid w:val="00B67FC5"/>
    <w:rsid w:val="00B7097B"/>
    <w:rsid w:val="00B71D1E"/>
    <w:rsid w:val="00B732AB"/>
    <w:rsid w:val="00B74383"/>
    <w:rsid w:val="00B7520C"/>
    <w:rsid w:val="00B758D9"/>
    <w:rsid w:val="00B77D55"/>
    <w:rsid w:val="00B80377"/>
    <w:rsid w:val="00B815B2"/>
    <w:rsid w:val="00B81D4C"/>
    <w:rsid w:val="00B850E4"/>
    <w:rsid w:val="00B869B6"/>
    <w:rsid w:val="00B871B7"/>
    <w:rsid w:val="00B876A2"/>
    <w:rsid w:val="00B879BF"/>
    <w:rsid w:val="00B91D67"/>
    <w:rsid w:val="00B94437"/>
    <w:rsid w:val="00B94C06"/>
    <w:rsid w:val="00B95291"/>
    <w:rsid w:val="00B958A1"/>
    <w:rsid w:val="00B9751E"/>
    <w:rsid w:val="00BA08F7"/>
    <w:rsid w:val="00BA1A9E"/>
    <w:rsid w:val="00BA21E1"/>
    <w:rsid w:val="00BA2B99"/>
    <w:rsid w:val="00BA42D1"/>
    <w:rsid w:val="00BA5139"/>
    <w:rsid w:val="00BA5802"/>
    <w:rsid w:val="00BA6ABE"/>
    <w:rsid w:val="00BA753C"/>
    <w:rsid w:val="00BB01F6"/>
    <w:rsid w:val="00BB13DE"/>
    <w:rsid w:val="00BB1413"/>
    <w:rsid w:val="00BB1415"/>
    <w:rsid w:val="00BB27B2"/>
    <w:rsid w:val="00BB34CA"/>
    <w:rsid w:val="00BB4326"/>
    <w:rsid w:val="00BB47C6"/>
    <w:rsid w:val="00BB5B20"/>
    <w:rsid w:val="00BC0360"/>
    <w:rsid w:val="00BC100E"/>
    <w:rsid w:val="00BC526F"/>
    <w:rsid w:val="00BC66DA"/>
    <w:rsid w:val="00BC6739"/>
    <w:rsid w:val="00BC6849"/>
    <w:rsid w:val="00BC756F"/>
    <w:rsid w:val="00BD0E03"/>
    <w:rsid w:val="00BD141C"/>
    <w:rsid w:val="00BD1FA8"/>
    <w:rsid w:val="00BD32D3"/>
    <w:rsid w:val="00BD4CD0"/>
    <w:rsid w:val="00BD4CDE"/>
    <w:rsid w:val="00BD50FA"/>
    <w:rsid w:val="00BD5320"/>
    <w:rsid w:val="00BD5BAB"/>
    <w:rsid w:val="00BD6EBB"/>
    <w:rsid w:val="00BE045D"/>
    <w:rsid w:val="00BE26F5"/>
    <w:rsid w:val="00BE2CEE"/>
    <w:rsid w:val="00BE2D46"/>
    <w:rsid w:val="00BE40C1"/>
    <w:rsid w:val="00BE6FB4"/>
    <w:rsid w:val="00BF0F85"/>
    <w:rsid w:val="00BF27CE"/>
    <w:rsid w:val="00BF32CD"/>
    <w:rsid w:val="00BF4891"/>
    <w:rsid w:val="00BF7931"/>
    <w:rsid w:val="00BF7C21"/>
    <w:rsid w:val="00C0410A"/>
    <w:rsid w:val="00C065DB"/>
    <w:rsid w:val="00C068D1"/>
    <w:rsid w:val="00C0764F"/>
    <w:rsid w:val="00C07B13"/>
    <w:rsid w:val="00C07BFE"/>
    <w:rsid w:val="00C07E56"/>
    <w:rsid w:val="00C10EF1"/>
    <w:rsid w:val="00C11488"/>
    <w:rsid w:val="00C12795"/>
    <w:rsid w:val="00C127F0"/>
    <w:rsid w:val="00C13DBC"/>
    <w:rsid w:val="00C140B3"/>
    <w:rsid w:val="00C14C8E"/>
    <w:rsid w:val="00C152FC"/>
    <w:rsid w:val="00C15DBF"/>
    <w:rsid w:val="00C1735F"/>
    <w:rsid w:val="00C17CEB"/>
    <w:rsid w:val="00C20132"/>
    <w:rsid w:val="00C21DC5"/>
    <w:rsid w:val="00C260F9"/>
    <w:rsid w:val="00C26352"/>
    <w:rsid w:val="00C2647E"/>
    <w:rsid w:val="00C309FA"/>
    <w:rsid w:val="00C30CE5"/>
    <w:rsid w:val="00C3105A"/>
    <w:rsid w:val="00C31F95"/>
    <w:rsid w:val="00C330D1"/>
    <w:rsid w:val="00C33EF2"/>
    <w:rsid w:val="00C355AE"/>
    <w:rsid w:val="00C35E95"/>
    <w:rsid w:val="00C36911"/>
    <w:rsid w:val="00C371FF"/>
    <w:rsid w:val="00C37B91"/>
    <w:rsid w:val="00C44A9A"/>
    <w:rsid w:val="00C453E9"/>
    <w:rsid w:val="00C5189A"/>
    <w:rsid w:val="00C52285"/>
    <w:rsid w:val="00C548A3"/>
    <w:rsid w:val="00C55006"/>
    <w:rsid w:val="00C55DA8"/>
    <w:rsid w:val="00C55DE2"/>
    <w:rsid w:val="00C56EA6"/>
    <w:rsid w:val="00C56F0A"/>
    <w:rsid w:val="00C62070"/>
    <w:rsid w:val="00C63C92"/>
    <w:rsid w:val="00C63E1F"/>
    <w:rsid w:val="00C63E70"/>
    <w:rsid w:val="00C64008"/>
    <w:rsid w:val="00C64911"/>
    <w:rsid w:val="00C65224"/>
    <w:rsid w:val="00C6651A"/>
    <w:rsid w:val="00C67932"/>
    <w:rsid w:val="00C67D29"/>
    <w:rsid w:val="00C70A09"/>
    <w:rsid w:val="00C71500"/>
    <w:rsid w:val="00C71EDC"/>
    <w:rsid w:val="00C720B0"/>
    <w:rsid w:val="00C72B35"/>
    <w:rsid w:val="00C72D7A"/>
    <w:rsid w:val="00C77355"/>
    <w:rsid w:val="00C80514"/>
    <w:rsid w:val="00C805EF"/>
    <w:rsid w:val="00C81E33"/>
    <w:rsid w:val="00C84506"/>
    <w:rsid w:val="00C84DC1"/>
    <w:rsid w:val="00C867EE"/>
    <w:rsid w:val="00C90D75"/>
    <w:rsid w:val="00C9171A"/>
    <w:rsid w:val="00C91CC6"/>
    <w:rsid w:val="00C922DA"/>
    <w:rsid w:val="00C9347A"/>
    <w:rsid w:val="00C936AB"/>
    <w:rsid w:val="00C94781"/>
    <w:rsid w:val="00C94FEF"/>
    <w:rsid w:val="00C95FEC"/>
    <w:rsid w:val="00C97232"/>
    <w:rsid w:val="00C97FB6"/>
    <w:rsid w:val="00CA2963"/>
    <w:rsid w:val="00CA32E4"/>
    <w:rsid w:val="00CA5CAB"/>
    <w:rsid w:val="00CB105E"/>
    <w:rsid w:val="00CB428E"/>
    <w:rsid w:val="00CB6CBF"/>
    <w:rsid w:val="00CB741B"/>
    <w:rsid w:val="00CB7D96"/>
    <w:rsid w:val="00CC1013"/>
    <w:rsid w:val="00CC11A4"/>
    <w:rsid w:val="00CC2BE5"/>
    <w:rsid w:val="00CC3B8F"/>
    <w:rsid w:val="00CC6E4C"/>
    <w:rsid w:val="00CC7406"/>
    <w:rsid w:val="00CC771F"/>
    <w:rsid w:val="00CD056B"/>
    <w:rsid w:val="00CD0692"/>
    <w:rsid w:val="00CD177F"/>
    <w:rsid w:val="00CD1E96"/>
    <w:rsid w:val="00CD1F92"/>
    <w:rsid w:val="00CD2E05"/>
    <w:rsid w:val="00CD4ADF"/>
    <w:rsid w:val="00CD4FA5"/>
    <w:rsid w:val="00CD5189"/>
    <w:rsid w:val="00CD5503"/>
    <w:rsid w:val="00CD6593"/>
    <w:rsid w:val="00CD65D9"/>
    <w:rsid w:val="00CD7C51"/>
    <w:rsid w:val="00CD7CBB"/>
    <w:rsid w:val="00CE0B5F"/>
    <w:rsid w:val="00CE0DEB"/>
    <w:rsid w:val="00CE13F0"/>
    <w:rsid w:val="00CE27C2"/>
    <w:rsid w:val="00CE2B37"/>
    <w:rsid w:val="00CE46F8"/>
    <w:rsid w:val="00CE5873"/>
    <w:rsid w:val="00CE658E"/>
    <w:rsid w:val="00CE7C0E"/>
    <w:rsid w:val="00CF12E9"/>
    <w:rsid w:val="00CF1CCE"/>
    <w:rsid w:val="00CF2CDA"/>
    <w:rsid w:val="00CF513E"/>
    <w:rsid w:val="00CF7217"/>
    <w:rsid w:val="00CF7EDB"/>
    <w:rsid w:val="00D01C11"/>
    <w:rsid w:val="00D03327"/>
    <w:rsid w:val="00D03E11"/>
    <w:rsid w:val="00D05769"/>
    <w:rsid w:val="00D060AA"/>
    <w:rsid w:val="00D112F1"/>
    <w:rsid w:val="00D1154D"/>
    <w:rsid w:val="00D11684"/>
    <w:rsid w:val="00D13B91"/>
    <w:rsid w:val="00D148CA"/>
    <w:rsid w:val="00D1618A"/>
    <w:rsid w:val="00D16210"/>
    <w:rsid w:val="00D164FC"/>
    <w:rsid w:val="00D17430"/>
    <w:rsid w:val="00D20000"/>
    <w:rsid w:val="00D21431"/>
    <w:rsid w:val="00D25F06"/>
    <w:rsid w:val="00D27419"/>
    <w:rsid w:val="00D27F0D"/>
    <w:rsid w:val="00D303C7"/>
    <w:rsid w:val="00D30F42"/>
    <w:rsid w:val="00D3257A"/>
    <w:rsid w:val="00D3295A"/>
    <w:rsid w:val="00D33A89"/>
    <w:rsid w:val="00D34FA5"/>
    <w:rsid w:val="00D40112"/>
    <w:rsid w:val="00D41AFB"/>
    <w:rsid w:val="00D427E1"/>
    <w:rsid w:val="00D440A0"/>
    <w:rsid w:val="00D45498"/>
    <w:rsid w:val="00D4689E"/>
    <w:rsid w:val="00D47FCD"/>
    <w:rsid w:val="00D54CB9"/>
    <w:rsid w:val="00D54FC3"/>
    <w:rsid w:val="00D57720"/>
    <w:rsid w:val="00D57C7B"/>
    <w:rsid w:val="00D619D4"/>
    <w:rsid w:val="00D62A7D"/>
    <w:rsid w:val="00D6365C"/>
    <w:rsid w:val="00D6563B"/>
    <w:rsid w:val="00D70045"/>
    <w:rsid w:val="00D70364"/>
    <w:rsid w:val="00D7385E"/>
    <w:rsid w:val="00D738E9"/>
    <w:rsid w:val="00D74890"/>
    <w:rsid w:val="00D76C5F"/>
    <w:rsid w:val="00D77478"/>
    <w:rsid w:val="00D8067A"/>
    <w:rsid w:val="00D80A21"/>
    <w:rsid w:val="00D828E7"/>
    <w:rsid w:val="00D86224"/>
    <w:rsid w:val="00D90FDE"/>
    <w:rsid w:val="00D9178F"/>
    <w:rsid w:val="00D9281C"/>
    <w:rsid w:val="00D951A9"/>
    <w:rsid w:val="00D96F6D"/>
    <w:rsid w:val="00D9781E"/>
    <w:rsid w:val="00DA145B"/>
    <w:rsid w:val="00DA19F7"/>
    <w:rsid w:val="00DA3096"/>
    <w:rsid w:val="00DA44AE"/>
    <w:rsid w:val="00DA4B98"/>
    <w:rsid w:val="00DA66B3"/>
    <w:rsid w:val="00DA672C"/>
    <w:rsid w:val="00DA6BD2"/>
    <w:rsid w:val="00DA74DA"/>
    <w:rsid w:val="00DA7CF6"/>
    <w:rsid w:val="00DB03A9"/>
    <w:rsid w:val="00DB21AE"/>
    <w:rsid w:val="00DB3928"/>
    <w:rsid w:val="00DB3AF0"/>
    <w:rsid w:val="00DB5544"/>
    <w:rsid w:val="00DB57CD"/>
    <w:rsid w:val="00DB5CC4"/>
    <w:rsid w:val="00DB626C"/>
    <w:rsid w:val="00DB6998"/>
    <w:rsid w:val="00DB7EA0"/>
    <w:rsid w:val="00DC4A24"/>
    <w:rsid w:val="00DC53C4"/>
    <w:rsid w:val="00DC5D29"/>
    <w:rsid w:val="00DC6D04"/>
    <w:rsid w:val="00DC7AF3"/>
    <w:rsid w:val="00DD015F"/>
    <w:rsid w:val="00DD1562"/>
    <w:rsid w:val="00DD15C6"/>
    <w:rsid w:val="00DD2929"/>
    <w:rsid w:val="00DD3BB3"/>
    <w:rsid w:val="00DD5593"/>
    <w:rsid w:val="00DE2619"/>
    <w:rsid w:val="00DE31EE"/>
    <w:rsid w:val="00DE3D26"/>
    <w:rsid w:val="00DE70CC"/>
    <w:rsid w:val="00DE784B"/>
    <w:rsid w:val="00DF0B52"/>
    <w:rsid w:val="00DF0B7F"/>
    <w:rsid w:val="00DF0E85"/>
    <w:rsid w:val="00DF1216"/>
    <w:rsid w:val="00DF2536"/>
    <w:rsid w:val="00DF53F0"/>
    <w:rsid w:val="00E00A16"/>
    <w:rsid w:val="00E00A1A"/>
    <w:rsid w:val="00E00DC2"/>
    <w:rsid w:val="00E010D6"/>
    <w:rsid w:val="00E01A92"/>
    <w:rsid w:val="00E05D10"/>
    <w:rsid w:val="00E0788B"/>
    <w:rsid w:val="00E07B97"/>
    <w:rsid w:val="00E10623"/>
    <w:rsid w:val="00E11659"/>
    <w:rsid w:val="00E164F8"/>
    <w:rsid w:val="00E2322B"/>
    <w:rsid w:val="00E243E2"/>
    <w:rsid w:val="00E26282"/>
    <w:rsid w:val="00E26781"/>
    <w:rsid w:val="00E26E55"/>
    <w:rsid w:val="00E27143"/>
    <w:rsid w:val="00E27710"/>
    <w:rsid w:val="00E27DF7"/>
    <w:rsid w:val="00E30417"/>
    <w:rsid w:val="00E308DB"/>
    <w:rsid w:val="00E31090"/>
    <w:rsid w:val="00E31465"/>
    <w:rsid w:val="00E31C58"/>
    <w:rsid w:val="00E33070"/>
    <w:rsid w:val="00E337EA"/>
    <w:rsid w:val="00E352F7"/>
    <w:rsid w:val="00E35565"/>
    <w:rsid w:val="00E3647A"/>
    <w:rsid w:val="00E40563"/>
    <w:rsid w:val="00E445B9"/>
    <w:rsid w:val="00E44B58"/>
    <w:rsid w:val="00E44D61"/>
    <w:rsid w:val="00E44D62"/>
    <w:rsid w:val="00E46318"/>
    <w:rsid w:val="00E4795B"/>
    <w:rsid w:val="00E502CB"/>
    <w:rsid w:val="00E51941"/>
    <w:rsid w:val="00E51A04"/>
    <w:rsid w:val="00E54720"/>
    <w:rsid w:val="00E56128"/>
    <w:rsid w:val="00E6054F"/>
    <w:rsid w:val="00E6176B"/>
    <w:rsid w:val="00E627D8"/>
    <w:rsid w:val="00E655DF"/>
    <w:rsid w:val="00E65B38"/>
    <w:rsid w:val="00E67E74"/>
    <w:rsid w:val="00E713FD"/>
    <w:rsid w:val="00E72642"/>
    <w:rsid w:val="00E74147"/>
    <w:rsid w:val="00E75887"/>
    <w:rsid w:val="00E770DA"/>
    <w:rsid w:val="00E847D2"/>
    <w:rsid w:val="00E84AC1"/>
    <w:rsid w:val="00E84AC4"/>
    <w:rsid w:val="00E8694E"/>
    <w:rsid w:val="00E86C11"/>
    <w:rsid w:val="00E87229"/>
    <w:rsid w:val="00E87D79"/>
    <w:rsid w:val="00E90726"/>
    <w:rsid w:val="00E92EAC"/>
    <w:rsid w:val="00E93068"/>
    <w:rsid w:val="00E93D07"/>
    <w:rsid w:val="00E95397"/>
    <w:rsid w:val="00E9710F"/>
    <w:rsid w:val="00E974EA"/>
    <w:rsid w:val="00E97546"/>
    <w:rsid w:val="00E97973"/>
    <w:rsid w:val="00E97FCF"/>
    <w:rsid w:val="00EA07DA"/>
    <w:rsid w:val="00EA2935"/>
    <w:rsid w:val="00EA3C50"/>
    <w:rsid w:val="00EA5587"/>
    <w:rsid w:val="00EA60B8"/>
    <w:rsid w:val="00EA78CD"/>
    <w:rsid w:val="00EB5DF9"/>
    <w:rsid w:val="00EB7C6C"/>
    <w:rsid w:val="00EC19A9"/>
    <w:rsid w:val="00EC2A14"/>
    <w:rsid w:val="00EC31AC"/>
    <w:rsid w:val="00EC58A4"/>
    <w:rsid w:val="00EC6D60"/>
    <w:rsid w:val="00ED05E2"/>
    <w:rsid w:val="00ED24B9"/>
    <w:rsid w:val="00ED251E"/>
    <w:rsid w:val="00ED3711"/>
    <w:rsid w:val="00ED4090"/>
    <w:rsid w:val="00ED4E1E"/>
    <w:rsid w:val="00ED5623"/>
    <w:rsid w:val="00ED60EE"/>
    <w:rsid w:val="00ED6EEA"/>
    <w:rsid w:val="00ED7368"/>
    <w:rsid w:val="00ED7CEB"/>
    <w:rsid w:val="00ED7F87"/>
    <w:rsid w:val="00EE0A66"/>
    <w:rsid w:val="00EE151B"/>
    <w:rsid w:val="00EE20AC"/>
    <w:rsid w:val="00EE23D3"/>
    <w:rsid w:val="00EE258F"/>
    <w:rsid w:val="00EE2D9D"/>
    <w:rsid w:val="00EE40DD"/>
    <w:rsid w:val="00EE4DFF"/>
    <w:rsid w:val="00EE55E9"/>
    <w:rsid w:val="00EE6A63"/>
    <w:rsid w:val="00EF1352"/>
    <w:rsid w:val="00EF3822"/>
    <w:rsid w:val="00F0042E"/>
    <w:rsid w:val="00F00C44"/>
    <w:rsid w:val="00F0109F"/>
    <w:rsid w:val="00F01114"/>
    <w:rsid w:val="00F01EF0"/>
    <w:rsid w:val="00F03D55"/>
    <w:rsid w:val="00F06ACC"/>
    <w:rsid w:val="00F06C7E"/>
    <w:rsid w:val="00F071A7"/>
    <w:rsid w:val="00F074AF"/>
    <w:rsid w:val="00F07671"/>
    <w:rsid w:val="00F1112F"/>
    <w:rsid w:val="00F12423"/>
    <w:rsid w:val="00F12F05"/>
    <w:rsid w:val="00F1315F"/>
    <w:rsid w:val="00F1330F"/>
    <w:rsid w:val="00F14E4D"/>
    <w:rsid w:val="00F156E7"/>
    <w:rsid w:val="00F15C3D"/>
    <w:rsid w:val="00F16E4F"/>
    <w:rsid w:val="00F2093B"/>
    <w:rsid w:val="00F212EB"/>
    <w:rsid w:val="00F268D2"/>
    <w:rsid w:val="00F27775"/>
    <w:rsid w:val="00F27A37"/>
    <w:rsid w:val="00F3089C"/>
    <w:rsid w:val="00F30D94"/>
    <w:rsid w:val="00F333FB"/>
    <w:rsid w:val="00F334CA"/>
    <w:rsid w:val="00F356B8"/>
    <w:rsid w:val="00F3639E"/>
    <w:rsid w:val="00F403B3"/>
    <w:rsid w:val="00F4105B"/>
    <w:rsid w:val="00F41113"/>
    <w:rsid w:val="00F44DFB"/>
    <w:rsid w:val="00F451DB"/>
    <w:rsid w:val="00F45A5C"/>
    <w:rsid w:val="00F4653A"/>
    <w:rsid w:val="00F4691C"/>
    <w:rsid w:val="00F46EFE"/>
    <w:rsid w:val="00F511DF"/>
    <w:rsid w:val="00F52362"/>
    <w:rsid w:val="00F52DCA"/>
    <w:rsid w:val="00F53988"/>
    <w:rsid w:val="00F55738"/>
    <w:rsid w:val="00F55874"/>
    <w:rsid w:val="00F5604B"/>
    <w:rsid w:val="00F56A6A"/>
    <w:rsid w:val="00F56B48"/>
    <w:rsid w:val="00F60CB0"/>
    <w:rsid w:val="00F61851"/>
    <w:rsid w:val="00F61AE7"/>
    <w:rsid w:val="00F64474"/>
    <w:rsid w:val="00F65875"/>
    <w:rsid w:val="00F65B82"/>
    <w:rsid w:val="00F70180"/>
    <w:rsid w:val="00F70453"/>
    <w:rsid w:val="00F707D5"/>
    <w:rsid w:val="00F7083D"/>
    <w:rsid w:val="00F70C57"/>
    <w:rsid w:val="00F70FA5"/>
    <w:rsid w:val="00F710AC"/>
    <w:rsid w:val="00F725C0"/>
    <w:rsid w:val="00F727C1"/>
    <w:rsid w:val="00F7398C"/>
    <w:rsid w:val="00F744CB"/>
    <w:rsid w:val="00F7516E"/>
    <w:rsid w:val="00F75FFC"/>
    <w:rsid w:val="00F82D85"/>
    <w:rsid w:val="00F82ECB"/>
    <w:rsid w:val="00F8376A"/>
    <w:rsid w:val="00F84836"/>
    <w:rsid w:val="00F84BC7"/>
    <w:rsid w:val="00F84E9D"/>
    <w:rsid w:val="00F86B0D"/>
    <w:rsid w:val="00F87344"/>
    <w:rsid w:val="00F87F2A"/>
    <w:rsid w:val="00F90BEA"/>
    <w:rsid w:val="00F921B8"/>
    <w:rsid w:val="00F9346C"/>
    <w:rsid w:val="00F93845"/>
    <w:rsid w:val="00F938F7"/>
    <w:rsid w:val="00F941D9"/>
    <w:rsid w:val="00F95BFF"/>
    <w:rsid w:val="00F97D04"/>
    <w:rsid w:val="00FA0468"/>
    <w:rsid w:val="00FA22A4"/>
    <w:rsid w:val="00FA230D"/>
    <w:rsid w:val="00FA441F"/>
    <w:rsid w:val="00FB3AD2"/>
    <w:rsid w:val="00FB501C"/>
    <w:rsid w:val="00FC573E"/>
    <w:rsid w:val="00FC64B3"/>
    <w:rsid w:val="00FC6D1A"/>
    <w:rsid w:val="00FD055A"/>
    <w:rsid w:val="00FD3773"/>
    <w:rsid w:val="00FD485F"/>
    <w:rsid w:val="00FD53BE"/>
    <w:rsid w:val="00FD5E1D"/>
    <w:rsid w:val="00FD736F"/>
    <w:rsid w:val="00FE0486"/>
    <w:rsid w:val="00FE055D"/>
    <w:rsid w:val="00FE151D"/>
    <w:rsid w:val="00FE2207"/>
    <w:rsid w:val="00FF0C56"/>
    <w:rsid w:val="00FF1A63"/>
    <w:rsid w:val="00FF1E5A"/>
    <w:rsid w:val="00FF2CF3"/>
    <w:rsid w:val="00FF4FF6"/>
    <w:rsid w:val="00FF550A"/>
    <w:rsid w:val="00FF5A1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99F76"/>
  <w15:chartTrackingRefBased/>
  <w15:docId w15:val="{0FB4F2F2-AA0F-4D29-88C2-F5172E69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54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589D"/>
    <w:rPr>
      <w:lang w:val="en-US"/>
    </w:rPr>
  </w:style>
  <w:style w:type="paragraph" w:styleId="Footer">
    <w:name w:val="footer"/>
    <w:basedOn w:val="Normal"/>
    <w:link w:val="FooterChar"/>
    <w:uiPriority w:val="99"/>
    <w:unhideWhenUsed/>
    <w:rsid w:val="001158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589D"/>
    <w:rPr>
      <w:lang w:val="en-US"/>
    </w:rPr>
  </w:style>
  <w:style w:type="character" w:styleId="LineNumber">
    <w:name w:val="line number"/>
    <w:basedOn w:val="DefaultParagraphFont"/>
    <w:uiPriority w:val="99"/>
    <w:semiHidden/>
    <w:unhideWhenUsed/>
    <w:rsid w:val="0011589D"/>
  </w:style>
  <w:style w:type="paragraph" w:styleId="ListParagraph">
    <w:name w:val="List Paragraph"/>
    <w:basedOn w:val="Normal"/>
    <w:uiPriority w:val="34"/>
    <w:qFormat/>
    <w:rsid w:val="002A61D3"/>
    <w:pPr>
      <w:ind w:left="720"/>
      <w:contextualSpacing/>
    </w:pPr>
  </w:style>
  <w:style w:type="character" w:styleId="CommentReference">
    <w:name w:val="annotation reference"/>
    <w:basedOn w:val="DefaultParagraphFont"/>
    <w:uiPriority w:val="99"/>
    <w:semiHidden/>
    <w:unhideWhenUsed/>
    <w:rsid w:val="00970B6D"/>
    <w:rPr>
      <w:sz w:val="16"/>
      <w:szCs w:val="16"/>
    </w:rPr>
  </w:style>
  <w:style w:type="paragraph" w:styleId="CommentText">
    <w:name w:val="annotation text"/>
    <w:basedOn w:val="Normal"/>
    <w:link w:val="CommentTextChar"/>
    <w:uiPriority w:val="99"/>
    <w:unhideWhenUsed/>
    <w:rsid w:val="00970B6D"/>
    <w:pPr>
      <w:spacing w:line="240" w:lineRule="auto"/>
    </w:pPr>
    <w:rPr>
      <w:sz w:val="20"/>
      <w:szCs w:val="20"/>
    </w:rPr>
  </w:style>
  <w:style w:type="character" w:customStyle="1" w:styleId="CommentTextChar">
    <w:name w:val="Comment Text Char"/>
    <w:basedOn w:val="DefaultParagraphFont"/>
    <w:link w:val="CommentText"/>
    <w:uiPriority w:val="99"/>
    <w:rsid w:val="00970B6D"/>
    <w:rPr>
      <w:sz w:val="20"/>
      <w:szCs w:val="20"/>
      <w:lang w:val="en-US"/>
    </w:rPr>
  </w:style>
  <w:style w:type="paragraph" w:styleId="CommentSubject">
    <w:name w:val="annotation subject"/>
    <w:basedOn w:val="CommentText"/>
    <w:next w:val="CommentText"/>
    <w:link w:val="CommentSubjectChar"/>
    <w:uiPriority w:val="99"/>
    <w:semiHidden/>
    <w:unhideWhenUsed/>
    <w:rsid w:val="00970B6D"/>
    <w:rPr>
      <w:b/>
      <w:bCs/>
    </w:rPr>
  </w:style>
  <w:style w:type="character" w:customStyle="1" w:styleId="CommentSubjectChar">
    <w:name w:val="Comment Subject Char"/>
    <w:basedOn w:val="CommentTextChar"/>
    <w:link w:val="CommentSubject"/>
    <w:uiPriority w:val="99"/>
    <w:semiHidden/>
    <w:rsid w:val="00970B6D"/>
    <w:rPr>
      <w:b/>
      <w:bCs/>
      <w:sz w:val="20"/>
      <w:szCs w:val="20"/>
      <w:lang w:val="en-US"/>
    </w:rPr>
  </w:style>
  <w:style w:type="paragraph" w:styleId="Bibliography">
    <w:name w:val="Bibliography"/>
    <w:basedOn w:val="Normal"/>
    <w:next w:val="Normal"/>
    <w:uiPriority w:val="37"/>
    <w:unhideWhenUsed/>
    <w:rsid w:val="00AF4454"/>
    <w:pPr>
      <w:tabs>
        <w:tab w:val="left" w:pos="264"/>
      </w:tabs>
      <w:spacing w:after="240" w:line="240" w:lineRule="auto"/>
      <w:ind w:left="264" w:hanging="264"/>
    </w:pPr>
  </w:style>
  <w:style w:type="paragraph" w:styleId="Title">
    <w:name w:val="Title"/>
    <w:basedOn w:val="Normal"/>
    <w:next w:val="Normal"/>
    <w:link w:val="TitleChar"/>
    <w:uiPriority w:val="10"/>
    <w:qFormat/>
    <w:rsid w:val="00D54C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CB9"/>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D54CB9"/>
    <w:rPr>
      <w:rFonts w:asciiTheme="majorHAnsi" w:eastAsiaTheme="majorEastAsia" w:hAnsiTheme="majorHAnsi" w:cstheme="majorBidi"/>
      <w:color w:val="2F5496" w:themeColor="accent1" w:themeShade="BF"/>
      <w:sz w:val="32"/>
      <w:szCs w:val="32"/>
      <w:lang w:val="en-US"/>
    </w:rPr>
  </w:style>
  <w:style w:type="paragraph" w:styleId="Caption">
    <w:name w:val="caption"/>
    <w:basedOn w:val="Normal"/>
    <w:next w:val="Normal"/>
    <w:unhideWhenUsed/>
    <w:qFormat/>
    <w:rsid w:val="002F42F2"/>
    <w:pPr>
      <w:spacing w:after="200" w:line="240" w:lineRule="auto"/>
    </w:pPr>
    <w:rPr>
      <w:i/>
      <w:iCs/>
      <w:color w:val="44546A" w:themeColor="text2"/>
      <w:sz w:val="18"/>
      <w:szCs w:val="18"/>
    </w:rPr>
  </w:style>
  <w:style w:type="table" w:styleId="PlainTable4">
    <w:name w:val="Plain Table 4"/>
    <w:basedOn w:val="TableNormal"/>
    <w:uiPriority w:val="44"/>
    <w:rsid w:val="00686B93"/>
    <w:pPr>
      <w:spacing w:after="0" w:line="240" w:lineRule="auto"/>
    </w:pPr>
    <w:rPr>
      <w:rFonts w:ascii="Times New Roman" w:eastAsiaTheme="minorEastAsia" w:hAnsi="Times New Roman" w:cs="Times New Roman"/>
      <w:sz w:val="20"/>
      <w:szCs w:val="20"/>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61AE7"/>
    <w:rPr>
      <w:color w:val="0563C1" w:themeColor="hyperlink"/>
      <w:u w:val="single"/>
    </w:rPr>
  </w:style>
  <w:style w:type="character" w:styleId="UnresolvedMention">
    <w:name w:val="Unresolved Mention"/>
    <w:basedOn w:val="DefaultParagraphFont"/>
    <w:uiPriority w:val="99"/>
    <w:semiHidden/>
    <w:unhideWhenUsed/>
    <w:rsid w:val="00F61AE7"/>
    <w:rPr>
      <w:color w:val="605E5C"/>
      <w:shd w:val="clear" w:color="auto" w:fill="E1DFDD"/>
    </w:rPr>
  </w:style>
  <w:style w:type="paragraph" w:styleId="Revision">
    <w:name w:val="Revision"/>
    <w:hidden/>
    <w:uiPriority w:val="99"/>
    <w:semiHidden/>
    <w:rsid w:val="00F61AE7"/>
    <w:pPr>
      <w:spacing w:after="0" w:line="240" w:lineRule="auto"/>
    </w:pPr>
    <w:rPr>
      <w:lang w:val="en-US"/>
    </w:rPr>
  </w:style>
  <w:style w:type="paragraph" w:customStyle="1" w:styleId="Default">
    <w:name w:val="Default"/>
    <w:rsid w:val="0063124F"/>
    <w:pPr>
      <w:autoSpaceDE w:val="0"/>
      <w:autoSpaceDN w:val="0"/>
      <w:adjustRightInd w:val="0"/>
      <w:spacing w:after="0" w:line="240" w:lineRule="auto"/>
    </w:pPr>
    <w:rPr>
      <w:rFonts w:ascii="Times New Roman" w:hAnsi="Times New Roman" w:cs="Times New Roman"/>
      <w:color w:val="000000"/>
      <w:sz w:val="24"/>
      <w:szCs w:val="24"/>
      <w:lang w:eastAsia="zh-CN"/>
    </w:rPr>
  </w:style>
  <w:style w:type="paragraph" w:styleId="NormalWeb">
    <w:name w:val="Normal (Web)"/>
    <w:basedOn w:val="Normal"/>
    <w:uiPriority w:val="99"/>
    <w:unhideWhenUsed/>
    <w:rsid w:val="0063124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PlaceholderText">
    <w:name w:val="Placeholder Text"/>
    <w:basedOn w:val="DefaultParagraphFont"/>
    <w:uiPriority w:val="99"/>
    <w:semiHidden/>
    <w:rsid w:val="003760E0"/>
    <w:rPr>
      <w:color w:val="808080"/>
    </w:rPr>
  </w:style>
  <w:style w:type="paragraph" w:customStyle="1" w:styleId="xxmsonormal">
    <w:name w:val="x_x_msonormal"/>
    <w:basedOn w:val="Normal"/>
    <w:rsid w:val="0069754D"/>
    <w:pPr>
      <w:spacing w:after="0" w:line="240" w:lineRule="auto"/>
    </w:pPr>
    <w:rPr>
      <w:rFonts w:ascii="Calibri" w:eastAsiaTheme="minorEastAsia" w:hAnsi="Calibri" w:cs="Calibri"/>
      <w:lang w:val="sv-SE" w:eastAsia="zh-CN"/>
    </w:rPr>
  </w:style>
  <w:style w:type="character" w:styleId="FollowedHyperlink">
    <w:name w:val="FollowedHyperlink"/>
    <w:basedOn w:val="DefaultParagraphFont"/>
    <w:uiPriority w:val="99"/>
    <w:semiHidden/>
    <w:unhideWhenUsed/>
    <w:rsid w:val="00A05C71"/>
    <w:rPr>
      <w:color w:val="954F72" w:themeColor="followedHyperlink"/>
      <w:u w:val="single"/>
    </w:rPr>
  </w:style>
  <w:style w:type="paragraph" w:customStyle="1" w:styleId="pf0">
    <w:name w:val="pf0"/>
    <w:basedOn w:val="Normal"/>
    <w:rsid w:val="006F76C6"/>
    <w:pPr>
      <w:spacing w:before="100" w:beforeAutospacing="1" w:after="100" w:afterAutospacing="1" w:line="240" w:lineRule="auto"/>
    </w:pPr>
    <w:rPr>
      <w:rFonts w:ascii="Times New Roman" w:eastAsia="Times New Roman" w:hAnsi="Times New Roman" w:cs="Times New Roman"/>
      <w:sz w:val="24"/>
      <w:szCs w:val="24"/>
      <w:lang w:val="sv-SE" w:eastAsia="zh-CN"/>
    </w:rPr>
  </w:style>
  <w:style w:type="character" w:customStyle="1" w:styleId="cf01">
    <w:name w:val="cf01"/>
    <w:basedOn w:val="DefaultParagraphFont"/>
    <w:rsid w:val="006F76C6"/>
    <w:rPr>
      <w:rFonts w:ascii="Segoe UI" w:hAnsi="Segoe UI" w:cs="Segoe UI" w:hint="default"/>
      <w:sz w:val="18"/>
      <w:szCs w:val="18"/>
    </w:rPr>
  </w:style>
  <w:style w:type="table" w:styleId="TableGrid">
    <w:name w:val="Table Grid"/>
    <w:basedOn w:val="TableNormal"/>
    <w:uiPriority w:val="39"/>
    <w:rsid w:val="0054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8531">
      <w:bodyDiv w:val="1"/>
      <w:marLeft w:val="0"/>
      <w:marRight w:val="0"/>
      <w:marTop w:val="0"/>
      <w:marBottom w:val="0"/>
      <w:divBdr>
        <w:top w:val="none" w:sz="0" w:space="0" w:color="auto"/>
        <w:left w:val="none" w:sz="0" w:space="0" w:color="auto"/>
        <w:bottom w:val="none" w:sz="0" w:space="0" w:color="auto"/>
        <w:right w:val="none" w:sz="0" w:space="0" w:color="auto"/>
      </w:divBdr>
    </w:div>
    <w:div w:id="107283721">
      <w:bodyDiv w:val="1"/>
      <w:marLeft w:val="0"/>
      <w:marRight w:val="0"/>
      <w:marTop w:val="0"/>
      <w:marBottom w:val="0"/>
      <w:divBdr>
        <w:top w:val="none" w:sz="0" w:space="0" w:color="auto"/>
        <w:left w:val="none" w:sz="0" w:space="0" w:color="auto"/>
        <w:bottom w:val="none" w:sz="0" w:space="0" w:color="auto"/>
        <w:right w:val="none" w:sz="0" w:space="0" w:color="auto"/>
      </w:divBdr>
    </w:div>
    <w:div w:id="175579886">
      <w:bodyDiv w:val="1"/>
      <w:marLeft w:val="0"/>
      <w:marRight w:val="0"/>
      <w:marTop w:val="0"/>
      <w:marBottom w:val="0"/>
      <w:divBdr>
        <w:top w:val="none" w:sz="0" w:space="0" w:color="auto"/>
        <w:left w:val="none" w:sz="0" w:space="0" w:color="auto"/>
        <w:bottom w:val="none" w:sz="0" w:space="0" w:color="auto"/>
        <w:right w:val="none" w:sz="0" w:space="0" w:color="auto"/>
      </w:divBdr>
      <w:divsChild>
        <w:div w:id="845822012">
          <w:marLeft w:val="640"/>
          <w:marRight w:val="0"/>
          <w:marTop w:val="0"/>
          <w:marBottom w:val="0"/>
          <w:divBdr>
            <w:top w:val="none" w:sz="0" w:space="0" w:color="auto"/>
            <w:left w:val="none" w:sz="0" w:space="0" w:color="auto"/>
            <w:bottom w:val="none" w:sz="0" w:space="0" w:color="auto"/>
            <w:right w:val="none" w:sz="0" w:space="0" w:color="auto"/>
          </w:divBdr>
        </w:div>
        <w:div w:id="2049715480">
          <w:marLeft w:val="640"/>
          <w:marRight w:val="0"/>
          <w:marTop w:val="0"/>
          <w:marBottom w:val="0"/>
          <w:divBdr>
            <w:top w:val="none" w:sz="0" w:space="0" w:color="auto"/>
            <w:left w:val="none" w:sz="0" w:space="0" w:color="auto"/>
            <w:bottom w:val="none" w:sz="0" w:space="0" w:color="auto"/>
            <w:right w:val="none" w:sz="0" w:space="0" w:color="auto"/>
          </w:divBdr>
        </w:div>
        <w:div w:id="284889226">
          <w:marLeft w:val="640"/>
          <w:marRight w:val="0"/>
          <w:marTop w:val="0"/>
          <w:marBottom w:val="0"/>
          <w:divBdr>
            <w:top w:val="none" w:sz="0" w:space="0" w:color="auto"/>
            <w:left w:val="none" w:sz="0" w:space="0" w:color="auto"/>
            <w:bottom w:val="none" w:sz="0" w:space="0" w:color="auto"/>
            <w:right w:val="none" w:sz="0" w:space="0" w:color="auto"/>
          </w:divBdr>
        </w:div>
      </w:divsChild>
    </w:div>
    <w:div w:id="309755110">
      <w:bodyDiv w:val="1"/>
      <w:marLeft w:val="0"/>
      <w:marRight w:val="0"/>
      <w:marTop w:val="0"/>
      <w:marBottom w:val="0"/>
      <w:divBdr>
        <w:top w:val="none" w:sz="0" w:space="0" w:color="auto"/>
        <w:left w:val="none" w:sz="0" w:space="0" w:color="auto"/>
        <w:bottom w:val="none" w:sz="0" w:space="0" w:color="auto"/>
        <w:right w:val="none" w:sz="0" w:space="0" w:color="auto"/>
      </w:divBdr>
    </w:div>
    <w:div w:id="345986938">
      <w:bodyDiv w:val="1"/>
      <w:marLeft w:val="0"/>
      <w:marRight w:val="0"/>
      <w:marTop w:val="0"/>
      <w:marBottom w:val="0"/>
      <w:divBdr>
        <w:top w:val="none" w:sz="0" w:space="0" w:color="auto"/>
        <w:left w:val="none" w:sz="0" w:space="0" w:color="auto"/>
        <w:bottom w:val="none" w:sz="0" w:space="0" w:color="auto"/>
        <w:right w:val="none" w:sz="0" w:space="0" w:color="auto"/>
      </w:divBdr>
    </w:div>
    <w:div w:id="372535365">
      <w:bodyDiv w:val="1"/>
      <w:marLeft w:val="0"/>
      <w:marRight w:val="0"/>
      <w:marTop w:val="0"/>
      <w:marBottom w:val="0"/>
      <w:divBdr>
        <w:top w:val="none" w:sz="0" w:space="0" w:color="auto"/>
        <w:left w:val="none" w:sz="0" w:space="0" w:color="auto"/>
        <w:bottom w:val="none" w:sz="0" w:space="0" w:color="auto"/>
        <w:right w:val="none" w:sz="0" w:space="0" w:color="auto"/>
      </w:divBdr>
      <w:divsChild>
        <w:div w:id="905257859">
          <w:marLeft w:val="640"/>
          <w:marRight w:val="0"/>
          <w:marTop w:val="0"/>
          <w:marBottom w:val="0"/>
          <w:divBdr>
            <w:top w:val="none" w:sz="0" w:space="0" w:color="auto"/>
            <w:left w:val="none" w:sz="0" w:space="0" w:color="auto"/>
            <w:bottom w:val="none" w:sz="0" w:space="0" w:color="auto"/>
            <w:right w:val="none" w:sz="0" w:space="0" w:color="auto"/>
          </w:divBdr>
        </w:div>
        <w:div w:id="1799060623">
          <w:marLeft w:val="640"/>
          <w:marRight w:val="0"/>
          <w:marTop w:val="0"/>
          <w:marBottom w:val="0"/>
          <w:divBdr>
            <w:top w:val="none" w:sz="0" w:space="0" w:color="auto"/>
            <w:left w:val="none" w:sz="0" w:space="0" w:color="auto"/>
            <w:bottom w:val="none" w:sz="0" w:space="0" w:color="auto"/>
            <w:right w:val="none" w:sz="0" w:space="0" w:color="auto"/>
          </w:divBdr>
        </w:div>
        <w:div w:id="428157992">
          <w:marLeft w:val="640"/>
          <w:marRight w:val="0"/>
          <w:marTop w:val="0"/>
          <w:marBottom w:val="0"/>
          <w:divBdr>
            <w:top w:val="none" w:sz="0" w:space="0" w:color="auto"/>
            <w:left w:val="none" w:sz="0" w:space="0" w:color="auto"/>
            <w:bottom w:val="none" w:sz="0" w:space="0" w:color="auto"/>
            <w:right w:val="none" w:sz="0" w:space="0" w:color="auto"/>
          </w:divBdr>
        </w:div>
      </w:divsChild>
    </w:div>
    <w:div w:id="459878791">
      <w:bodyDiv w:val="1"/>
      <w:marLeft w:val="0"/>
      <w:marRight w:val="0"/>
      <w:marTop w:val="0"/>
      <w:marBottom w:val="0"/>
      <w:divBdr>
        <w:top w:val="none" w:sz="0" w:space="0" w:color="auto"/>
        <w:left w:val="none" w:sz="0" w:space="0" w:color="auto"/>
        <w:bottom w:val="none" w:sz="0" w:space="0" w:color="auto"/>
        <w:right w:val="none" w:sz="0" w:space="0" w:color="auto"/>
      </w:divBdr>
      <w:divsChild>
        <w:div w:id="675110358">
          <w:marLeft w:val="640"/>
          <w:marRight w:val="0"/>
          <w:marTop w:val="0"/>
          <w:marBottom w:val="0"/>
          <w:divBdr>
            <w:top w:val="none" w:sz="0" w:space="0" w:color="auto"/>
            <w:left w:val="none" w:sz="0" w:space="0" w:color="auto"/>
            <w:bottom w:val="none" w:sz="0" w:space="0" w:color="auto"/>
            <w:right w:val="none" w:sz="0" w:space="0" w:color="auto"/>
          </w:divBdr>
        </w:div>
        <w:div w:id="2058965856">
          <w:marLeft w:val="640"/>
          <w:marRight w:val="0"/>
          <w:marTop w:val="0"/>
          <w:marBottom w:val="0"/>
          <w:divBdr>
            <w:top w:val="none" w:sz="0" w:space="0" w:color="auto"/>
            <w:left w:val="none" w:sz="0" w:space="0" w:color="auto"/>
            <w:bottom w:val="none" w:sz="0" w:space="0" w:color="auto"/>
            <w:right w:val="none" w:sz="0" w:space="0" w:color="auto"/>
          </w:divBdr>
        </w:div>
      </w:divsChild>
    </w:div>
    <w:div w:id="461578328">
      <w:bodyDiv w:val="1"/>
      <w:marLeft w:val="0"/>
      <w:marRight w:val="0"/>
      <w:marTop w:val="0"/>
      <w:marBottom w:val="0"/>
      <w:divBdr>
        <w:top w:val="none" w:sz="0" w:space="0" w:color="auto"/>
        <w:left w:val="none" w:sz="0" w:space="0" w:color="auto"/>
        <w:bottom w:val="none" w:sz="0" w:space="0" w:color="auto"/>
        <w:right w:val="none" w:sz="0" w:space="0" w:color="auto"/>
      </w:divBdr>
    </w:div>
    <w:div w:id="465777968">
      <w:bodyDiv w:val="1"/>
      <w:marLeft w:val="0"/>
      <w:marRight w:val="0"/>
      <w:marTop w:val="0"/>
      <w:marBottom w:val="0"/>
      <w:divBdr>
        <w:top w:val="none" w:sz="0" w:space="0" w:color="auto"/>
        <w:left w:val="none" w:sz="0" w:space="0" w:color="auto"/>
        <w:bottom w:val="none" w:sz="0" w:space="0" w:color="auto"/>
        <w:right w:val="none" w:sz="0" w:space="0" w:color="auto"/>
      </w:divBdr>
    </w:div>
    <w:div w:id="491527866">
      <w:bodyDiv w:val="1"/>
      <w:marLeft w:val="0"/>
      <w:marRight w:val="0"/>
      <w:marTop w:val="0"/>
      <w:marBottom w:val="0"/>
      <w:divBdr>
        <w:top w:val="none" w:sz="0" w:space="0" w:color="auto"/>
        <w:left w:val="none" w:sz="0" w:space="0" w:color="auto"/>
        <w:bottom w:val="none" w:sz="0" w:space="0" w:color="auto"/>
        <w:right w:val="none" w:sz="0" w:space="0" w:color="auto"/>
      </w:divBdr>
    </w:div>
    <w:div w:id="509682027">
      <w:bodyDiv w:val="1"/>
      <w:marLeft w:val="0"/>
      <w:marRight w:val="0"/>
      <w:marTop w:val="0"/>
      <w:marBottom w:val="0"/>
      <w:divBdr>
        <w:top w:val="none" w:sz="0" w:space="0" w:color="auto"/>
        <w:left w:val="none" w:sz="0" w:space="0" w:color="auto"/>
        <w:bottom w:val="none" w:sz="0" w:space="0" w:color="auto"/>
        <w:right w:val="none" w:sz="0" w:space="0" w:color="auto"/>
      </w:divBdr>
    </w:div>
    <w:div w:id="558595460">
      <w:bodyDiv w:val="1"/>
      <w:marLeft w:val="0"/>
      <w:marRight w:val="0"/>
      <w:marTop w:val="0"/>
      <w:marBottom w:val="0"/>
      <w:divBdr>
        <w:top w:val="none" w:sz="0" w:space="0" w:color="auto"/>
        <w:left w:val="none" w:sz="0" w:space="0" w:color="auto"/>
        <w:bottom w:val="none" w:sz="0" w:space="0" w:color="auto"/>
        <w:right w:val="none" w:sz="0" w:space="0" w:color="auto"/>
      </w:divBdr>
    </w:div>
    <w:div w:id="558983514">
      <w:bodyDiv w:val="1"/>
      <w:marLeft w:val="0"/>
      <w:marRight w:val="0"/>
      <w:marTop w:val="0"/>
      <w:marBottom w:val="0"/>
      <w:divBdr>
        <w:top w:val="none" w:sz="0" w:space="0" w:color="auto"/>
        <w:left w:val="none" w:sz="0" w:space="0" w:color="auto"/>
        <w:bottom w:val="none" w:sz="0" w:space="0" w:color="auto"/>
        <w:right w:val="none" w:sz="0" w:space="0" w:color="auto"/>
      </w:divBdr>
    </w:div>
    <w:div w:id="679822268">
      <w:bodyDiv w:val="1"/>
      <w:marLeft w:val="0"/>
      <w:marRight w:val="0"/>
      <w:marTop w:val="0"/>
      <w:marBottom w:val="0"/>
      <w:divBdr>
        <w:top w:val="none" w:sz="0" w:space="0" w:color="auto"/>
        <w:left w:val="none" w:sz="0" w:space="0" w:color="auto"/>
        <w:bottom w:val="none" w:sz="0" w:space="0" w:color="auto"/>
        <w:right w:val="none" w:sz="0" w:space="0" w:color="auto"/>
      </w:divBdr>
    </w:div>
    <w:div w:id="700591998">
      <w:bodyDiv w:val="1"/>
      <w:marLeft w:val="0"/>
      <w:marRight w:val="0"/>
      <w:marTop w:val="0"/>
      <w:marBottom w:val="0"/>
      <w:divBdr>
        <w:top w:val="none" w:sz="0" w:space="0" w:color="auto"/>
        <w:left w:val="none" w:sz="0" w:space="0" w:color="auto"/>
        <w:bottom w:val="none" w:sz="0" w:space="0" w:color="auto"/>
        <w:right w:val="none" w:sz="0" w:space="0" w:color="auto"/>
      </w:divBdr>
    </w:div>
    <w:div w:id="733747152">
      <w:bodyDiv w:val="1"/>
      <w:marLeft w:val="0"/>
      <w:marRight w:val="0"/>
      <w:marTop w:val="0"/>
      <w:marBottom w:val="0"/>
      <w:divBdr>
        <w:top w:val="none" w:sz="0" w:space="0" w:color="auto"/>
        <w:left w:val="none" w:sz="0" w:space="0" w:color="auto"/>
        <w:bottom w:val="none" w:sz="0" w:space="0" w:color="auto"/>
        <w:right w:val="none" w:sz="0" w:space="0" w:color="auto"/>
      </w:divBdr>
      <w:divsChild>
        <w:div w:id="1199930372">
          <w:marLeft w:val="640"/>
          <w:marRight w:val="0"/>
          <w:marTop w:val="0"/>
          <w:marBottom w:val="0"/>
          <w:divBdr>
            <w:top w:val="none" w:sz="0" w:space="0" w:color="auto"/>
            <w:left w:val="none" w:sz="0" w:space="0" w:color="auto"/>
            <w:bottom w:val="none" w:sz="0" w:space="0" w:color="auto"/>
            <w:right w:val="none" w:sz="0" w:space="0" w:color="auto"/>
          </w:divBdr>
        </w:div>
        <w:div w:id="1524636365">
          <w:marLeft w:val="640"/>
          <w:marRight w:val="0"/>
          <w:marTop w:val="0"/>
          <w:marBottom w:val="0"/>
          <w:divBdr>
            <w:top w:val="none" w:sz="0" w:space="0" w:color="auto"/>
            <w:left w:val="none" w:sz="0" w:space="0" w:color="auto"/>
            <w:bottom w:val="none" w:sz="0" w:space="0" w:color="auto"/>
            <w:right w:val="none" w:sz="0" w:space="0" w:color="auto"/>
          </w:divBdr>
        </w:div>
      </w:divsChild>
    </w:div>
    <w:div w:id="759570152">
      <w:bodyDiv w:val="1"/>
      <w:marLeft w:val="0"/>
      <w:marRight w:val="0"/>
      <w:marTop w:val="0"/>
      <w:marBottom w:val="0"/>
      <w:divBdr>
        <w:top w:val="none" w:sz="0" w:space="0" w:color="auto"/>
        <w:left w:val="none" w:sz="0" w:space="0" w:color="auto"/>
        <w:bottom w:val="none" w:sz="0" w:space="0" w:color="auto"/>
        <w:right w:val="none" w:sz="0" w:space="0" w:color="auto"/>
      </w:divBdr>
    </w:div>
    <w:div w:id="790242781">
      <w:bodyDiv w:val="1"/>
      <w:marLeft w:val="0"/>
      <w:marRight w:val="0"/>
      <w:marTop w:val="0"/>
      <w:marBottom w:val="0"/>
      <w:divBdr>
        <w:top w:val="none" w:sz="0" w:space="0" w:color="auto"/>
        <w:left w:val="none" w:sz="0" w:space="0" w:color="auto"/>
        <w:bottom w:val="none" w:sz="0" w:space="0" w:color="auto"/>
        <w:right w:val="none" w:sz="0" w:space="0" w:color="auto"/>
      </w:divBdr>
    </w:div>
    <w:div w:id="798953964">
      <w:bodyDiv w:val="1"/>
      <w:marLeft w:val="0"/>
      <w:marRight w:val="0"/>
      <w:marTop w:val="0"/>
      <w:marBottom w:val="0"/>
      <w:divBdr>
        <w:top w:val="none" w:sz="0" w:space="0" w:color="auto"/>
        <w:left w:val="none" w:sz="0" w:space="0" w:color="auto"/>
        <w:bottom w:val="none" w:sz="0" w:space="0" w:color="auto"/>
        <w:right w:val="none" w:sz="0" w:space="0" w:color="auto"/>
      </w:divBdr>
    </w:div>
    <w:div w:id="815414359">
      <w:bodyDiv w:val="1"/>
      <w:marLeft w:val="0"/>
      <w:marRight w:val="0"/>
      <w:marTop w:val="0"/>
      <w:marBottom w:val="0"/>
      <w:divBdr>
        <w:top w:val="none" w:sz="0" w:space="0" w:color="auto"/>
        <w:left w:val="none" w:sz="0" w:space="0" w:color="auto"/>
        <w:bottom w:val="none" w:sz="0" w:space="0" w:color="auto"/>
        <w:right w:val="none" w:sz="0" w:space="0" w:color="auto"/>
      </w:divBdr>
    </w:div>
    <w:div w:id="825785645">
      <w:bodyDiv w:val="1"/>
      <w:marLeft w:val="0"/>
      <w:marRight w:val="0"/>
      <w:marTop w:val="0"/>
      <w:marBottom w:val="0"/>
      <w:divBdr>
        <w:top w:val="none" w:sz="0" w:space="0" w:color="auto"/>
        <w:left w:val="none" w:sz="0" w:space="0" w:color="auto"/>
        <w:bottom w:val="none" w:sz="0" w:space="0" w:color="auto"/>
        <w:right w:val="none" w:sz="0" w:space="0" w:color="auto"/>
      </w:divBdr>
    </w:div>
    <w:div w:id="1079253724">
      <w:bodyDiv w:val="1"/>
      <w:marLeft w:val="0"/>
      <w:marRight w:val="0"/>
      <w:marTop w:val="0"/>
      <w:marBottom w:val="0"/>
      <w:divBdr>
        <w:top w:val="none" w:sz="0" w:space="0" w:color="auto"/>
        <w:left w:val="none" w:sz="0" w:space="0" w:color="auto"/>
        <w:bottom w:val="none" w:sz="0" w:space="0" w:color="auto"/>
        <w:right w:val="none" w:sz="0" w:space="0" w:color="auto"/>
      </w:divBdr>
    </w:div>
    <w:div w:id="1088576135">
      <w:bodyDiv w:val="1"/>
      <w:marLeft w:val="0"/>
      <w:marRight w:val="0"/>
      <w:marTop w:val="0"/>
      <w:marBottom w:val="0"/>
      <w:divBdr>
        <w:top w:val="none" w:sz="0" w:space="0" w:color="auto"/>
        <w:left w:val="none" w:sz="0" w:space="0" w:color="auto"/>
        <w:bottom w:val="none" w:sz="0" w:space="0" w:color="auto"/>
        <w:right w:val="none" w:sz="0" w:space="0" w:color="auto"/>
      </w:divBdr>
    </w:div>
    <w:div w:id="1120489184">
      <w:bodyDiv w:val="1"/>
      <w:marLeft w:val="0"/>
      <w:marRight w:val="0"/>
      <w:marTop w:val="0"/>
      <w:marBottom w:val="0"/>
      <w:divBdr>
        <w:top w:val="none" w:sz="0" w:space="0" w:color="auto"/>
        <w:left w:val="none" w:sz="0" w:space="0" w:color="auto"/>
        <w:bottom w:val="none" w:sz="0" w:space="0" w:color="auto"/>
        <w:right w:val="none" w:sz="0" w:space="0" w:color="auto"/>
      </w:divBdr>
    </w:div>
    <w:div w:id="1170365313">
      <w:bodyDiv w:val="1"/>
      <w:marLeft w:val="0"/>
      <w:marRight w:val="0"/>
      <w:marTop w:val="0"/>
      <w:marBottom w:val="0"/>
      <w:divBdr>
        <w:top w:val="none" w:sz="0" w:space="0" w:color="auto"/>
        <w:left w:val="none" w:sz="0" w:space="0" w:color="auto"/>
        <w:bottom w:val="none" w:sz="0" w:space="0" w:color="auto"/>
        <w:right w:val="none" w:sz="0" w:space="0" w:color="auto"/>
      </w:divBdr>
    </w:div>
    <w:div w:id="1234000617">
      <w:bodyDiv w:val="1"/>
      <w:marLeft w:val="0"/>
      <w:marRight w:val="0"/>
      <w:marTop w:val="0"/>
      <w:marBottom w:val="0"/>
      <w:divBdr>
        <w:top w:val="none" w:sz="0" w:space="0" w:color="auto"/>
        <w:left w:val="none" w:sz="0" w:space="0" w:color="auto"/>
        <w:bottom w:val="none" w:sz="0" w:space="0" w:color="auto"/>
        <w:right w:val="none" w:sz="0" w:space="0" w:color="auto"/>
      </w:divBdr>
      <w:divsChild>
        <w:div w:id="28264158">
          <w:marLeft w:val="640"/>
          <w:marRight w:val="0"/>
          <w:marTop w:val="0"/>
          <w:marBottom w:val="0"/>
          <w:divBdr>
            <w:top w:val="none" w:sz="0" w:space="0" w:color="auto"/>
            <w:left w:val="none" w:sz="0" w:space="0" w:color="auto"/>
            <w:bottom w:val="none" w:sz="0" w:space="0" w:color="auto"/>
            <w:right w:val="none" w:sz="0" w:space="0" w:color="auto"/>
          </w:divBdr>
        </w:div>
        <w:div w:id="1202327950">
          <w:marLeft w:val="640"/>
          <w:marRight w:val="0"/>
          <w:marTop w:val="0"/>
          <w:marBottom w:val="0"/>
          <w:divBdr>
            <w:top w:val="none" w:sz="0" w:space="0" w:color="auto"/>
            <w:left w:val="none" w:sz="0" w:space="0" w:color="auto"/>
            <w:bottom w:val="none" w:sz="0" w:space="0" w:color="auto"/>
            <w:right w:val="none" w:sz="0" w:space="0" w:color="auto"/>
          </w:divBdr>
        </w:div>
        <w:div w:id="22559103">
          <w:marLeft w:val="640"/>
          <w:marRight w:val="0"/>
          <w:marTop w:val="0"/>
          <w:marBottom w:val="0"/>
          <w:divBdr>
            <w:top w:val="none" w:sz="0" w:space="0" w:color="auto"/>
            <w:left w:val="none" w:sz="0" w:space="0" w:color="auto"/>
            <w:bottom w:val="none" w:sz="0" w:space="0" w:color="auto"/>
            <w:right w:val="none" w:sz="0" w:space="0" w:color="auto"/>
          </w:divBdr>
        </w:div>
      </w:divsChild>
    </w:div>
    <w:div w:id="1235356008">
      <w:bodyDiv w:val="1"/>
      <w:marLeft w:val="0"/>
      <w:marRight w:val="0"/>
      <w:marTop w:val="0"/>
      <w:marBottom w:val="0"/>
      <w:divBdr>
        <w:top w:val="none" w:sz="0" w:space="0" w:color="auto"/>
        <w:left w:val="none" w:sz="0" w:space="0" w:color="auto"/>
        <w:bottom w:val="none" w:sz="0" w:space="0" w:color="auto"/>
        <w:right w:val="none" w:sz="0" w:space="0" w:color="auto"/>
      </w:divBdr>
    </w:div>
    <w:div w:id="1302879079">
      <w:bodyDiv w:val="1"/>
      <w:marLeft w:val="0"/>
      <w:marRight w:val="0"/>
      <w:marTop w:val="0"/>
      <w:marBottom w:val="0"/>
      <w:divBdr>
        <w:top w:val="none" w:sz="0" w:space="0" w:color="auto"/>
        <w:left w:val="none" w:sz="0" w:space="0" w:color="auto"/>
        <w:bottom w:val="none" w:sz="0" w:space="0" w:color="auto"/>
        <w:right w:val="none" w:sz="0" w:space="0" w:color="auto"/>
      </w:divBdr>
    </w:div>
    <w:div w:id="1303317289">
      <w:bodyDiv w:val="1"/>
      <w:marLeft w:val="0"/>
      <w:marRight w:val="0"/>
      <w:marTop w:val="0"/>
      <w:marBottom w:val="0"/>
      <w:divBdr>
        <w:top w:val="none" w:sz="0" w:space="0" w:color="auto"/>
        <w:left w:val="none" w:sz="0" w:space="0" w:color="auto"/>
        <w:bottom w:val="none" w:sz="0" w:space="0" w:color="auto"/>
        <w:right w:val="none" w:sz="0" w:space="0" w:color="auto"/>
      </w:divBdr>
    </w:div>
    <w:div w:id="1317345387">
      <w:bodyDiv w:val="1"/>
      <w:marLeft w:val="0"/>
      <w:marRight w:val="0"/>
      <w:marTop w:val="0"/>
      <w:marBottom w:val="0"/>
      <w:divBdr>
        <w:top w:val="none" w:sz="0" w:space="0" w:color="auto"/>
        <w:left w:val="none" w:sz="0" w:space="0" w:color="auto"/>
        <w:bottom w:val="none" w:sz="0" w:space="0" w:color="auto"/>
        <w:right w:val="none" w:sz="0" w:space="0" w:color="auto"/>
      </w:divBdr>
      <w:divsChild>
        <w:div w:id="193078062">
          <w:marLeft w:val="640"/>
          <w:marRight w:val="0"/>
          <w:marTop w:val="0"/>
          <w:marBottom w:val="0"/>
          <w:divBdr>
            <w:top w:val="none" w:sz="0" w:space="0" w:color="auto"/>
            <w:left w:val="none" w:sz="0" w:space="0" w:color="auto"/>
            <w:bottom w:val="none" w:sz="0" w:space="0" w:color="auto"/>
            <w:right w:val="none" w:sz="0" w:space="0" w:color="auto"/>
          </w:divBdr>
        </w:div>
        <w:div w:id="764230168">
          <w:marLeft w:val="640"/>
          <w:marRight w:val="0"/>
          <w:marTop w:val="0"/>
          <w:marBottom w:val="0"/>
          <w:divBdr>
            <w:top w:val="none" w:sz="0" w:space="0" w:color="auto"/>
            <w:left w:val="none" w:sz="0" w:space="0" w:color="auto"/>
            <w:bottom w:val="none" w:sz="0" w:space="0" w:color="auto"/>
            <w:right w:val="none" w:sz="0" w:space="0" w:color="auto"/>
          </w:divBdr>
        </w:div>
      </w:divsChild>
    </w:div>
    <w:div w:id="1414203518">
      <w:bodyDiv w:val="1"/>
      <w:marLeft w:val="0"/>
      <w:marRight w:val="0"/>
      <w:marTop w:val="0"/>
      <w:marBottom w:val="0"/>
      <w:divBdr>
        <w:top w:val="none" w:sz="0" w:space="0" w:color="auto"/>
        <w:left w:val="none" w:sz="0" w:space="0" w:color="auto"/>
        <w:bottom w:val="none" w:sz="0" w:space="0" w:color="auto"/>
        <w:right w:val="none" w:sz="0" w:space="0" w:color="auto"/>
      </w:divBdr>
      <w:divsChild>
        <w:div w:id="930428918">
          <w:marLeft w:val="640"/>
          <w:marRight w:val="0"/>
          <w:marTop w:val="0"/>
          <w:marBottom w:val="0"/>
          <w:divBdr>
            <w:top w:val="none" w:sz="0" w:space="0" w:color="auto"/>
            <w:left w:val="none" w:sz="0" w:space="0" w:color="auto"/>
            <w:bottom w:val="none" w:sz="0" w:space="0" w:color="auto"/>
            <w:right w:val="none" w:sz="0" w:space="0" w:color="auto"/>
          </w:divBdr>
        </w:div>
        <w:div w:id="1750736278">
          <w:marLeft w:val="640"/>
          <w:marRight w:val="0"/>
          <w:marTop w:val="0"/>
          <w:marBottom w:val="0"/>
          <w:divBdr>
            <w:top w:val="none" w:sz="0" w:space="0" w:color="auto"/>
            <w:left w:val="none" w:sz="0" w:space="0" w:color="auto"/>
            <w:bottom w:val="none" w:sz="0" w:space="0" w:color="auto"/>
            <w:right w:val="none" w:sz="0" w:space="0" w:color="auto"/>
          </w:divBdr>
        </w:div>
        <w:div w:id="560941260">
          <w:marLeft w:val="640"/>
          <w:marRight w:val="0"/>
          <w:marTop w:val="0"/>
          <w:marBottom w:val="0"/>
          <w:divBdr>
            <w:top w:val="none" w:sz="0" w:space="0" w:color="auto"/>
            <w:left w:val="none" w:sz="0" w:space="0" w:color="auto"/>
            <w:bottom w:val="none" w:sz="0" w:space="0" w:color="auto"/>
            <w:right w:val="none" w:sz="0" w:space="0" w:color="auto"/>
          </w:divBdr>
        </w:div>
      </w:divsChild>
    </w:div>
    <w:div w:id="1432046703">
      <w:bodyDiv w:val="1"/>
      <w:marLeft w:val="0"/>
      <w:marRight w:val="0"/>
      <w:marTop w:val="0"/>
      <w:marBottom w:val="0"/>
      <w:divBdr>
        <w:top w:val="none" w:sz="0" w:space="0" w:color="auto"/>
        <w:left w:val="none" w:sz="0" w:space="0" w:color="auto"/>
        <w:bottom w:val="none" w:sz="0" w:space="0" w:color="auto"/>
        <w:right w:val="none" w:sz="0" w:space="0" w:color="auto"/>
      </w:divBdr>
    </w:div>
    <w:div w:id="1448815257">
      <w:bodyDiv w:val="1"/>
      <w:marLeft w:val="0"/>
      <w:marRight w:val="0"/>
      <w:marTop w:val="0"/>
      <w:marBottom w:val="0"/>
      <w:divBdr>
        <w:top w:val="none" w:sz="0" w:space="0" w:color="auto"/>
        <w:left w:val="none" w:sz="0" w:space="0" w:color="auto"/>
        <w:bottom w:val="none" w:sz="0" w:space="0" w:color="auto"/>
        <w:right w:val="none" w:sz="0" w:space="0" w:color="auto"/>
      </w:divBdr>
    </w:div>
    <w:div w:id="1545293568">
      <w:bodyDiv w:val="1"/>
      <w:marLeft w:val="0"/>
      <w:marRight w:val="0"/>
      <w:marTop w:val="0"/>
      <w:marBottom w:val="0"/>
      <w:divBdr>
        <w:top w:val="none" w:sz="0" w:space="0" w:color="auto"/>
        <w:left w:val="none" w:sz="0" w:space="0" w:color="auto"/>
        <w:bottom w:val="none" w:sz="0" w:space="0" w:color="auto"/>
        <w:right w:val="none" w:sz="0" w:space="0" w:color="auto"/>
      </w:divBdr>
    </w:div>
    <w:div w:id="1546869698">
      <w:bodyDiv w:val="1"/>
      <w:marLeft w:val="0"/>
      <w:marRight w:val="0"/>
      <w:marTop w:val="0"/>
      <w:marBottom w:val="0"/>
      <w:divBdr>
        <w:top w:val="none" w:sz="0" w:space="0" w:color="auto"/>
        <w:left w:val="none" w:sz="0" w:space="0" w:color="auto"/>
        <w:bottom w:val="none" w:sz="0" w:space="0" w:color="auto"/>
        <w:right w:val="none" w:sz="0" w:space="0" w:color="auto"/>
      </w:divBdr>
    </w:div>
    <w:div w:id="1551310275">
      <w:bodyDiv w:val="1"/>
      <w:marLeft w:val="0"/>
      <w:marRight w:val="0"/>
      <w:marTop w:val="0"/>
      <w:marBottom w:val="0"/>
      <w:divBdr>
        <w:top w:val="none" w:sz="0" w:space="0" w:color="auto"/>
        <w:left w:val="none" w:sz="0" w:space="0" w:color="auto"/>
        <w:bottom w:val="none" w:sz="0" w:space="0" w:color="auto"/>
        <w:right w:val="none" w:sz="0" w:space="0" w:color="auto"/>
      </w:divBdr>
    </w:div>
    <w:div w:id="1558204212">
      <w:bodyDiv w:val="1"/>
      <w:marLeft w:val="0"/>
      <w:marRight w:val="0"/>
      <w:marTop w:val="0"/>
      <w:marBottom w:val="0"/>
      <w:divBdr>
        <w:top w:val="none" w:sz="0" w:space="0" w:color="auto"/>
        <w:left w:val="none" w:sz="0" w:space="0" w:color="auto"/>
        <w:bottom w:val="none" w:sz="0" w:space="0" w:color="auto"/>
        <w:right w:val="none" w:sz="0" w:space="0" w:color="auto"/>
      </w:divBdr>
      <w:divsChild>
        <w:div w:id="122577375">
          <w:marLeft w:val="640"/>
          <w:marRight w:val="0"/>
          <w:marTop w:val="0"/>
          <w:marBottom w:val="0"/>
          <w:divBdr>
            <w:top w:val="none" w:sz="0" w:space="0" w:color="auto"/>
            <w:left w:val="none" w:sz="0" w:space="0" w:color="auto"/>
            <w:bottom w:val="none" w:sz="0" w:space="0" w:color="auto"/>
            <w:right w:val="none" w:sz="0" w:space="0" w:color="auto"/>
          </w:divBdr>
        </w:div>
        <w:div w:id="1069615671">
          <w:marLeft w:val="640"/>
          <w:marRight w:val="0"/>
          <w:marTop w:val="0"/>
          <w:marBottom w:val="0"/>
          <w:divBdr>
            <w:top w:val="none" w:sz="0" w:space="0" w:color="auto"/>
            <w:left w:val="none" w:sz="0" w:space="0" w:color="auto"/>
            <w:bottom w:val="none" w:sz="0" w:space="0" w:color="auto"/>
            <w:right w:val="none" w:sz="0" w:space="0" w:color="auto"/>
          </w:divBdr>
        </w:div>
      </w:divsChild>
    </w:div>
    <w:div w:id="1605847451">
      <w:bodyDiv w:val="1"/>
      <w:marLeft w:val="0"/>
      <w:marRight w:val="0"/>
      <w:marTop w:val="0"/>
      <w:marBottom w:val="0"/>
      <w:divBdr>
        <w:top w:val="none" w:sz="0" w:space="0" w:color="auto"/>
        <w:left w:val="none" w:sz="0" w:space="0" w:color="auto"/>
        <w:bottom w:val="none" w:sz="0" w:space="0" w:color="auto"/>
        <w:right w:val="none" w:sz="0" w:space="0" w:color="auto"/>
      </w:divBdr>
    </w:div>
    <w:div w:id="1661621535">
      <w:bodyDiv w:val="1"/>
      <w:marLeft w:val="0"/>
      <w:marRight w:val="0"/>
      <w:marTop w:val="0"/>
      <w:marBottom w:val="0"/>
      <w:divBdr>
        <w:top w:val="none" w:sz="0" w:space="0" w:color="auto"/>
        <w:left w:val="none" w:sz="0" w:space="0" w:color="auto"/>
        <w:bottom w:val="none" w:sz="0" w:space="0" w:color="auto"/>
        <w:right w:val="none" w:sz="0" w:space="0" w:color="auto"/>
      </w:divBdr>
    </w:div>
    <w:div w:id="1745293624">
      <w:bodyDiv w:val="1"/>
      <w:marLeft w:val="0"/>
      <w:marRight w:val="0"/>
      <w:marTop w:val="0"/>
      <w:marBottom w:val="0"/>
      <w:divBdr>
        <w:top w:val="none" w:sz="0" w:space="0" w:color="auto"/>
        <w:left w:val="none" w:sz="0" w:space="0" w:color="auto"/>
        <w:bottom w:val="none" w:sz="0" w:space="0" w:color="auto"/>
        <w:right w:val="none" w:sz="0" w:space="0" w:color="auto"/>
      </w:divBdr>
    </w:div>
    <w:div w:id="1775242477">
      <w:bodyDiv w:val="1"/>
      <w:marLeft w:val="0"/>
      <w:marRight w:val="0"/>
      <w:marTop w:val="0"/>
      <w:marBottom w:val="0"/>
      <w:divBdr>
        <w:top w:val="none" w:sz="0" w:space="0" w:color="auto"/>
        <w:left w:val="none" w:sz="0" w:space="0" w:color="auto"/>
        <w:bottom w:val="none" w:sz="0" w:space="0" w:color="auto"/>
        <w:right w:val="none" w:sz="0" w:space="0" w:color="auto"/>
      </w:divBdr>
    </w:div>
    <w:div w:id="1815416529">
      <w:bodyDiv w:val="1"/>
      <w:marLeft w:val="0"/>
      <w:marRight w:val="0"/>
      <w:marTop w:val="0"/>
      <w:marBottom w:val="0"/>
      <w:divBdr>
        <w:top w:val="none" w:sz="0" w:space="0" w:color="auto"/>
        <w:left w:val="none" w:sz="0" w:space="0" w:color="auto"/>
        <w:bottom w:val="none" w:sz="0" w:space="0" w:color="auto"/>
        <w:right w:val="none" w:sz="0" w:space="0" w:color="auto"/>
      </w:divBdr>
    </w:div>
    <w:div w:id="1821531788">
      <w:bodyDiv w:val="1"/>
      <w:marLeft w:val="0"/>
      <w:marRight w:val="0"/>
      <w:marTop w:val="0"/>
      <w:marBottom w:val="0"/>
      <w:divBdr>
        <w:top w:val="none" w:sz="0" w:space="0" w:color="auto"/>
        <w:left w:val="none" w:sz="0" w:space="0" w:color="auto"/>
        <w:bottom w:val="none" w:sz="0" w:space="0" w:color="auto"/>
        <w:right w:val="none" w:sz="0" w:space="0" w:color="auto"/>
      </w:divBdr>
    </w:div>
    <w:div w:id="1849902171">
      <w:bodyDiv w:val="1"/>
      <w:marLeft w:val="0"/>
      <w:marRight w:val="0"/>
      <w:marTop w:val="0"/>
      <w:marBottom w:val="0"/>
      <w:divBdr>
        <w:top w:val="none" w:sz="0" w:space="0" w:color="auto"/>
        <w:left w:val="none" w:sz="0" w:space="0" w:color="auto"/>
        <w:bottom w:val="none" w:sz="0" w:space="0" w:color="auto"/>
        <w:right w:val="none" w:sz="0" w:space="0" w:color="auto"/>
      </w:divBdr>
    </w:div>
    <w:div w:id="1905337725">
      <w:bodyDiv w:val="1"/>
      <w:marLeft w:val="0"/>
      <w:marRight w:val="0"/>
      <w:marTop w:val="0"/>
      <w:marBottom w:val="0"/>
      <w:divBdr>
        <w:top w:val="none" w:sz="0" w:space="0" w:color="auto"/>
        <w:left w:val="none" w:sz="0" w:space="0" w:color="auto"/>
        <w:bottom w:val="none" w:sz="0" w:space="0" w:color="auto"/>
        <w:right w:val="none" w:sz="0" w:space="0" w:color="auto"/>
      </w:divBdr>
      <w:divsChild>
        <w:div w:id="445542802">
          <w:marLeft w:val="640"/>
          <w:marRight w:val="0"/>
          <w:marTop w:val="0"/>
          <w:marBottom w:val="0"/>
          <w:divBdr>
            <w:top w:val="none" w:sz="0" w:space="0" w:color="auto"/>
            <w:left w:val="none" w:sz="0" w:space="0" w:color="auto"/>
            <w:bottom w:val="none" w:sz="0" w:space="0" w:color="auto"/>
            <w:right w:val="none" w:sz="0" w:space="0" w:color="auto"/>
          </w:divBdr>
        </w:div>
        <w:div w:id="334839765">
          <w:marLeft w:val="640"/>
          <w:marRight w:val="0"/>
          <w:marTop w:val="0"/>
          <w:marBottom w:val="0"/>
          <w:divBdr>
            <w:top w:val="none" w:sz="0" w:space="0" w:color="auto"/>
            <w:left w:val="none" w:sz="0" w:space="0" w:color="auto"/>
            <w:bottom w:val="none" w:sz="0" w:space="0" w:color="auto"/>
            <w:right w:val="none" w:sz="0" w:space="0" w:color="auto"/>
          </w:divBdr>
        </w:div>
        <w:div w:id="1585070861">
          <w:marLeft w:val="640"/>
          <w:marRight w:val="0"/>
          <w:marTop w:val="0"/>
          <w:marBottom w:val="0"/>
          <w:divBdr>
            <w:top w:val="none" w:sz="0" w:space="0" w:color="auto"/>
            <w:left w:val="none" w:sz="0" w:space="0" w:color="auto"/>
            <w:bottom w:val="none" w:sz="0" w:space="0" w:color="auto"/>
            <w:right w:val="none" w:sz="0" w:space="0" w:color="auto"/>
          </w:divBdr>
        </w:div>
      </w:divsChild>
    </w:div>
    <w:div w:id="1938949325">
      <w:bodyDiv w:val="1"/>
      <w:marLeft w:val="0"/>
      <w:marRight w:val="0"/>
      <w:marTop w:val="0"/>
      <w:marBottom w:val="0"/>
      <w:divBdr>
        <w:top w:val="none" w:sz="0" w:space="0" w:color="auto"/>
        <w:left w:val="none" w:sz="0" w:space="0" w:color="auto"/>
        <w:bottom w:val="none" w:sz="0" w:space="0" w:color="auto"/>
        <w:right w:val="none" w:sz="0" w:space="0" w:color="auto"/>
      </w:divBdr>
    </w:div>
    <w:div w:id="1946384709">
      <w:bodyDiv w:val="1"/>
      <w:marLeft w:val="0"/>
      <w:marRight w:val="0"/>
      <w:marTop w:val="0"/>
      <w:marBottom w:val="0"/>
      <w:divBdr>
        <w:top w:val="none" w:sz="0" w:space="0" w:color="auto"/>
        <w:left w:val="none" w:sz="0" w:space="0" w:color="auto"/>
        <w:bottom w:val="none" w:sz="0" w:space="0" w:color="auto"/>
        <w:right w:val="none" w:sz="0" w:space="0" w:color="auto"/>
      </w:divBdr>
    </w:div>
    <w:div w:id="1960800093">
      <w:bodyDiv w:val="1"/>
      <w:marLeft w:val="0"/>
      <w:marRight w:val="0"/>
      <w:marTop w:val="0"/>
      <w:marBottom w:val="0"/>
      <w:divBdr>
        <w:top w:val="none" w:sz="0" w:space="0" w:color="auto"/>
        <w:left w:val="none" w:sz="0" w:space="0" w:color="auto"/>
        <w:bottom w:val="none" w:sz="0" w:space="0" w:color="auto"/>
        <w:right w:val="none" w:sz="0" w:space="0" w:color="auto"/>
      </w:divBdr>
    </w:div>
    <w:div w:id="1994866712">
      <w:bodyDiv w:val="1"/>
      <w:marLeft w:val="0"/>
      <w:marRight w:val="0"/>
      <w:marTop w:val="0"/>
      <w:marBottom w:val="0"/>
      <w:divBdr>
        <w:top w:val="none" w:sz="0" w:space="0" w:color="auto"/>
        <w:left w:val="none" w:sz="0" w:space="0" w:color="auto"/>
        <w:bottom w:val="none" w:sz="0" w:space="0" w:color="auto"/>
        <w:right w:val="none" w:sz="0" w:space="0" w:color="auto"/>
      </w:divBdr>
    </w:div>
    <w:div w:id="2029868884">
      <w:bodyDiv w:val="1"/>
      <w:marLeft w:val="0"/>
      <w:marRight w:val="0"/>
      <w:marTop w:val="0"/>
      <w:marBottom w:val="0"/>
      <w:divBdr>
        <w:top w:val="none" w:sz="0" w:space="0" w:color="auto"/>
        <w:left w:val="none" w:sz="0" w:space="0" w:color="auto"/>
        <w:bottom w:val="none" w:sz="0" w:space="0" w:color="auto"/>
        <w:right w:val="none" w:sz="0" w:space="0" w:color="auto"/>
      </w:divBdr>
    </w:div>
    <w:div w:id="2050763363">
      <w:bodyDiv w:val="1"/>
      <w:marLeft w:val="0"/>
      <w:marRight w:val="0"/>
      <w:marTop w:val="0"/>
      <w:marBottom w:val="0"/>
      <w:divBdr>
        <w:top w:val="none" w:sz="0" w:space="0" w:color="auto"/>
        <w:left w:val="none" w:sz="0" w:space="0" w:color="auto"/>
        <w:bottom w:val="none" w:sz="0" w:space="0" w:color="auto"/>
        <w:right w:val="none" w:sz="0" w:space="0" w:color="auto"/>
      </w:divBdr>
      <w:divsChild>
        <w:div w:id="53747405">
          <w:marLeft w:val="640"/>
          <w:marRight w:val="0"/>
          <w:marTop w:val="0"/>
          <w:marBottom w:val="0"/>
          <w:divBdr>
            <w:top w:val="none" w:sz="0" w:space="0" w:color="auto"/>
            <w:left w:val="none" w:sz="0" w:space="0" w:color="auto"/>
            <w:bottom w:val="none" w:sz="0" w:space="0" w:color="auto"/>
            <w:right w:val="none" w:sz="0" w:space="0" w:color="auto"/>
          </w:divBdr>
        </w:div>
        <w:div w:id="1085347234">
          <w:marLeft w:val="640"/>
          <w:marRight w:val="0"/>
          <w:marTop w:val="0"/>
          <w:marBottom w:val="0"/>
          <w:divBdr>
            <w:top w:val="none" w:sz="0" w:space="0" w:color="auto"/>
            <w:left w:val="none" w:sz="0" w:space="0" w:color="auto"/>
            <w:bottom w:val="none" w:sz="0" w:space="0" w:color="auto"/>
            <w:right w:val="none" w:sz="0" w:space="0" w:color="auto"/>
          </w:divBdr>
        </w:div>
      </w:divsChild>
    </w:div>
    <w:div w:id="2076321103">
      <w:bodyDiv w:val="1"/>
      <w:marLeft w:val="0"/>
      <w:marRight w:val="0"/>
      <w:marTop w:val="0"/>
      <w:marBottom w:val="0"/>
      <w:divBdr>
        <w:top w:val="none" w:sz="0" w:space="0" w:color="auto"/>
        <w:left w:val="none" w:sz="0" w:space="0" w:color="auto"/>
        <w:bottom w:val="none" w:sz="0" w:space="0" w:color="auto"/>
        <w:right w:val="none" w:sz="0" w:space="0" w:color="auto"/>
      </w:divBdr>
    </w:div>
    <w:div w:id="2088719862">
      <w:bodyDiv w:val="1"/>
      <w:marLeft w:val="0"/>
      <w:marRight w:val="0"/>
      <w:marTop w:val="0"/>
      <w:marBottom w:val="0"/>
      <w:divBdr>
        <w:top w:val="none" w:sz="0" w:space="0" w:color="auto"/>
        <w:left w:val="none" w:sz="0" w:space="0" w:color="auto"/>
        <w:bottom w:val="none" w:sz="0" w:space="0" w:color="auto"/>
        <w:right w:val="none" w:sz="0" w:space="0" w:color="auto"/>
      </w:divBdr>
      <w:divsChild>
        <w:div w:id="1614745449">
          <w:marLeft w:val="640"/>
          <w:marRight w:val="0"/>
          <w:marTop w:val="0"/>
          <w:marBottom w:val="0"/>
          <w:divBdr>
            <w:top w:val="none" w:sz="0" w:space="0" w:color="auto"/>
            <w:left w:val="none" w:sz="0" w:space="0" w:color="auto"/>
            <w:bottom w:val="none" w:sz="0" w:space="0" w:color="auto"/>
            <w:right w:val="none" w:sz="0" w:space="0" w:color="auto"/>
          </w:divBdr>
        </w:div>
        <w:div w:id="737245094">
          <w:marLeft w:val="640"/>
          <w:marRight w:val="0"/>
          <w:marTop w:val="0"/>
          <w:marBottom w:val="0"/>
          <w:divBdr>
            <w:top w:val="none" w:sz="0" w:space="0" w:color="auto"/>
            <w:left w:val="none" w:sz="0" w:space="0" w:color="auto"/>
            <w:bottom w:val="none" w:sz="0" w:space="0" w:color="auto"/>
            <w:right w:val="none" w:sz="0" w:space="0" w:color="auto"/>
          </w:divBdr>
        </w:div>
        <w:div w:id="1397557802">
          <w:marLeft w:val="640"/>
          <w:marRight w:val="0"/>
          <w:marTop w:val="0"/>
          <w:marBottom w:val="0"/>
          <w:divBdr>
            <w:top w:val="none" w:sz="0" w:space="0" w:color="auto"/>
            <w:left w:val="none" w:sz="0" w:space="0" w:color="auto"/>
            <w:bottom w:val="none" w:sz="0" w:space="0" w:color="auto"/>
            <w:right w:val="none" w:sz="0" w:space="0" w:color="auto"/>
          </w:divBdr>
        </w:div>
      </w:divsChild>
    </w:div>
    <w:div w:id="2115587937">
      <w:bodyDiv w:val="1"/>
      <w:marLeft w:val="0"/>
      <w:marRight w:val="0"/>
      <w:marTop w:val="0"/>
      <w:marBottom w:val="0"/>
      <w:divBdr>
        <w:top w:val="none" w:sz="0" w:space="0" w:color="auto"/>
        <w:left w:val="none" w:sz="0" w:space="0" w:color="auto"/>
        <w:bottom w:val="none" w:sz="0" w:space="0" w:color="auto"/>
        <w:right w:val="none" w:sz="0" w:space="0" w:color="auto"/>
      </w:divBdr>
      <w:divsChild>
        <w:div w:id="1557082258">
          <w:marLeft w:val="640"/>
          <w:marRight w:val="0"/>
          <w:marTop w:val="0"/>
          <w:marBottom w:val="0"/>
          <w:divBdr>
            <w:top w:val="none" w:sz="0" w:space="0" w:color="auto"/>
            <w:left w:val="none" w:sz="0" w:space="0" w:color="auto"/>
            <w:bottom w:val="none" w:sz="0" w:space="0" w:color="auto"/>
            <w:right w:val="none" w:sz="0" w:space="0" w:color="auto"/>
          </w:divBdr>
        </w:div>
        <w:div w:id="1604221744">
          <w:marLeft w:val="640"/>
          <w:marRight w:val="0"/>
          <w:marTop w:val="0"/>
          <w:marBottom w:val="0"/>
          <w:divBdr>
            <w:top w:val="none" w:sz="0" w:space="0" w:color="auto"/>
            <w:left w:val="none" w:sz="0" w:space="0" w:color="auto"/>
            <w:bottom w:val="none" w:sz="0" w:space="0" w:color="auto"/>
            <w:right w:val="none" w:sz="0" w:space="0" w:color="auto"/>
          </w:divBdr>
        </w:div>
      </w:divsChild>
    </w:div>
    <w:div w:id="2122677386">
      <w:bodyDiv w:val="1"/>
      <w:marLeft w:val="0"/>
      <w:marRight w:val="0"/>
      <w:marTop w:val="0"/>
      <w:marBottom w:val="0"/>
      <w:divBdr>
        <w:top w:val="none" w:sz="0" w:space="0" w:color="auto"/>
        <w:left w:val="none" w:sz="0" w:space="0" w:color="auto"/>
        <w:bottom w:val="none" w:sz="0" w:space="0" w:color="auto"/>
        <w:right w:val="none" w:sz="0" w:space="0" w:color="auto"/>
      </w:divBdr>
    </w:div>
    <w:div w:id="2124112987">
      <w:bodyDiv w:val="1"/>
      <w:marLeft w:val="0"/>
      <w:marRight w:val="0"/>
      <w:marTop w:val="0"/>
      <w:marBottom w:val="0"/>
      <w:divBdr>
        <w:top w:val="none" w:sz="0" w:space="0" w:color="auto"/>
        <w:left w:val="none" w:sz="0" w:space="0" w:color="auto"/>
        <w:bottom w:val="none" w:sz="0" w:space="0" w:color="auto"/>
        <w:right w:val="none" w:sz="0" w:space="0" w:color="auto"/>
      </w:divBdr>
      <w:divsChild>
        <w:div w:id="637153564">
          <w:marLeft w:val="640"/>
          <w:marRight w:val="0"/>
          <w:marTop w:val="0"/>
          <w:marBottom w:val="0"/>
          <w:divBdr>
            <w:top w:val="none" w:sz="0" w:space="0" w:color="auto"/>
            <w:left w:val="none" w:sz="0" w:space="0" w:color="auto"/>
            <w:bottom w:val="none" w:sz="0" w:space="0" w:color="auto"/>
            <w:right w:val="none" w:sz="0" w:space="0" w:color="auto"/>
          </w:divBdr>
        </w:div>
        <w:div w:id="439031548">
          <w:marLeft w:val="640"/>
          <w:marRight w:val="0"/>
          <w:marTop w:val="0"/>
          <w:marBottom w:val="0"/>
          <w:divBdr>
            <w:top w:val="none" w:sz="0" w:space="0" w:color="auto"/>
            <w:left w:val="none" w:sz="0" w:space="0" w:color="auto"/>
            <w:bottom w:val="none" w:sz="0" w:space="0" w:color="auto"/>
            <w:right w:val="none" w:sz="0" w:space="0" w:color="auto"/>
          </w:divBdr>
        </w:div>
        <w:div w:id="118856809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634DA8-C288-467F-8089-F847A07481F0}">
  <we:reference id="f78a3046-9e99-4300-aa2b-5814002b01a2" version="1.46.0.0" store="EXCatalog" storeType="EXCatalog"/>
  <we:alternateReferences>
    <we:reference id="WA104382081" version="1.46.0.0" store="en-US" storeType="OMEX"/>
  </we:alternateReferences>
  <we:properties>
    <we:property name="MENDELEY_CITATIONS" value="[{&quot;citationID&quot;:&quot;MENDELEY_CITATION_74ec5df0-cc9f-429d-90d5-60d93a7c1f22&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&quot;,&quot;citationItems&quot;:[{&quot;id&quot;:&quot;f3e45f88-e08e-344f-bd6d-4efb168458c8&quot;,&quot;itemData&quot;:{&quot;type&quot;:&quot;article-journal&quot;,&quot;id&quot;:&quot;f3e45f88-e08e-344f-bd6d-4efb168458c8&quot;,&quot;title&quot;:&quot;Global estimates of incidence and mortality of cervical cancer in 2020: a baseline analysis of the WHO Global Cervical Cancer Elimination Initiative&quot;,&quot;author&quot;:[{&quot;family&quot;:&quot;Singh&quot;,&quot;given&quot;:&quot;Deependra&quot;,&quot;parse-names&quot;:false,&quot;dropping-particle&quot;:&quot;&quot;,&quot;non-dropping-particle&quot;:&quot;&quot;},{&quot;family&quot;:&quot;Vignat&quot;,&quot;given&quot;:&quot;Jerome&quot;,&quot;parse-names&quot;:false,&quot;dropping-particle&quot;:&quot;&quot;,&quot;non-dropping-particle&quot;:&quot;&quot;},{&quot;family&quot;:&quot;Lorenzoni&quot;,&quot;given&quot;:&quot;Valentina&quot;,&quot;parse-names&quot;:false,&quot;dropping-particle&quot;:&quot;&quot;,&quot;non-dropping-particle&quot;:&quot;&quot;},{&quot;family&quot;:&quot;Eslahi&quot;,&quot;given&quot;:&quot;Marzieh&quot;,&quot;parse-names&quot;:false,&quot;dropping-particle&quot;:&quot;&quot;,&quot;non-dropping-particle&quot;:&quot;&quot;},{&quot;family&quot;:&quot;Ginsburg&quot;,&quot;given&quot;:&quot;Ophira&quot;,&quot;parse-names&quot;:false,&quot;dropping-particle&quot;:&quot;&quot;,&quot;non-dropping-particle&quot;:&quot;&quot;},{&quot;family&quot;:&quot;Lauby-Secretan&quot;,&quot;given&quot;:&quot;Beatrice&quot;,&quot;parse-names&quot;:false,&quot;dropping-particle&quot;:&quot;&quot;,&quot;non-dropping-particle&quot;:&quot;&quot;},{&quot;family&quot;:&quot;Arbyn&quot;,&quot;given&quot;:&quot;Marc&quot;,&quot;parse-names&quot;:false,&quot;dropping-particle&quot;:&quot;&quot;,&quot;non-dropping-particle&quot;:&quot;&quot;},{&quot;family&quot;:&quot;Basu&quot;,&quot;given&quot;:&quot;Partha&quot;,&quot;parse-names&quot;:false,&quot;dropping-particle&quot;:&quot;&quot;,&quot;non-dropping-particle&quot;:&quot;&quot;},{&quot;family&quot;:&quot;Bray&quot;,&quot;given&quot;:&quot;Freddie&quot;,&quot;parse-names&quot;:false,&quot;dropping-particle&quot;:&quot;&quot;,&quot;non-dropping-particle&quot;:&quot;&quot;},{&quot;family&quot;:&quot;Vaccarella&quot;,&quot;given&quot;:&quot;Salvatore&quot;,&quot;parse-names&quot;:false,&quot;dropping-particle&quot;:&quot;&quot;,&quot;non-dropping-particle&quot;:&quot;&quot;}],&quot;container-title&quot;:&quot;The Lancet Global Health&quot;,&quot;accessed&quot;:{&quot;date-parts&quot;:[[2023,1,31]]},&quot;DOI&quot;:&quot;10.1016/S2214-109X(22)00501-0&quot;,&quot;ISSN&quot;:&quot;2214109X&quot;,&quot;PMID&quot;:&quot;36528031&quot;,&quot;URL&quot;:&quot;http://www.thelancet.com/article/S2214109X22005010/fulltext&quot;,&quot;issued&quot;:{&quot;date-parts&quot;:[[2023,2,1]]},&quot;page&quot;:&quot;e197-e206&quot;,&quot;abstract&quot;:&quot;Background: Tracking progress and providing timely evidence is a fundamental step forward for countries to remain aligned with the targets set by WHO to eliminate cervical cancer as a public health problem (ie, to reduce the incidence of the disease below a threshold of 4 cases per 100 000 women-years). We aimed to assess the extent of global inequalities in cervical cancer incidence and mortality, based on The Global Cancer Observatory (GLOBOCAN) 2020 estimates, including geographical and socioeconomic development, and temporal aspects. Methods: For this analysis, we used the GLOBOCAN 2020 database to estimate the age-specific and age-standardised incidence and mortality rates of cervical cancer per 100 000 women-years for 185 countries or territories aggregated across the 20 UN-defined world regions, and by four-tier levels of the Human Development Index (HDI). Time trends (1988–2017) in incidence were extracted from the Cancer Incidence in Five Continents (CI5) plus database. Mortality estimates were obtained using the most recent national vital registration data from WHO. Findings: Globally in 2020, there were an estimated 604 127 cervical cancer cases and 341 831 deaths, with a corresponding age-standardised incidence of 13·3 cases per 100 000 women-years (95% CI 13·3–13·3) and mortality rate of 7·2 deaths per 100 000 women-years (95% CI 7·2–7·3). Cervical cancer incidence ranged from 2·2 (1·9–2·4) in Iraq to 84·6 (74·8–94·3) in Eswatini. Mortality rates ranged from 1·0 (0·8–1·2) in Switzerland to 55·7 (47·7–63·7) in Eswatini. Age-standardised incidence was highest in Malawi (67·9 [95% CI 65·7 –70·1]) and Zambia (65·5 [63·0–67·9]) in Africa, Bolivia (36·6 [35·0–38·2]) and Paraguay (34·1 [32·1–36·1]) in Latin America, Maldives (24·5 [17·0–32·0]) and Indonesia (24·4 [24·2–24·7]) in Asia, and Fiji (29·8 [24·7–35·0]) and Papua New Guinea (29·2 [27·3–31·0]) in Melanesia. A clear socioeconomic gradient exists in cervical cancer, with decreasing rates as HDI increased. Incidence was three times higher in countries with low HDI than countries with very high HDI, whereas mortality rates were six times higher in low HDI countries versus very high HDI countries. In 2020 estimates, a general decline in incidence was observed in most countries of the world with representative trend data, with incidence becoming stable at relatively low levels around 2005 in several high-income countries. By contrast, in the same period incidence increased in some countries in eastern Africa and eastern Europe. We observed different patterns of age-specific incidence between countries with well developed population-based screening and treatment services (eg, Sweden, Australia, and the UK) and countries with insufficient and opportunistic services (eg, Colombia, India, and Uganda). Interpretation: The burden of cervical cancer remains high in many parts of the world, and in most countries, the incidence and mortality of the disease remain much higher than the threshold set by the WHO initiative on cervical cancer elimination. We identified substantial geographical and socioeconomic inequalities in cervical cancer globally, with a clear gradient of increasing rates for countries with lower levels of human development. Our study provides timely evidence and impetus for future strategies that prioritise and accelerate progress towards the WHO elimination targets and, in so doing, address the marked variations in the global cervical cancer landscape today. Funding: French Institut National du Cancer, Horizon 2020 Framework Programme for Research and Innovation of the European Commission; and EU4Health Programme.&quot;,&quot;publisher&quot;:&quot;Elsevier Ltd&quot;,&quot;issue&quot;:&quot;2&quot;,&quot;volume&quot;:&quot;11&quot;,&quot;container-title-short&quot;:&quot;Lancet Glob Health&quot;},&quot;uris&quot;:[&quot;http://www.mendeley.com/documents/?uuid=f3e45f88-e08e-344f-bd6d-4efb168458c8&quot;],&quot;isTemporary&quot;:false,&quot;legacyDesktopId&quot;:&quot;f3e45f88-e08e-344f-bd6d-4efb168458c8&quot;}]},{&quot;citationID&quot;:&quot;MENDELEY_CITATION_82f28567-d7fb-4c11-87b3-e8ccce74443a&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&quot;,&quot;citationItems&quot;:[{&quot;id&quot;:&quot;7339a4b8-2ec6-36d5-8bcb-1ed0dd34229e&quot;,&quot;itemData&quot;:{&quot;type&quot;:&quot;webpage&quot;,&quot;id&quot;:&quot;7339a4b8-2ec6-36d5-8bcb-1ed0dd34229e&quot;,&quot;title&quot;:&quot;Cervical cancer&quot;,&quot;accessed&quot;:{&quot;date-parts&quot;:[[2023,2,27]]},&quot;URL&quot;:&quot;https://www.who.int/news-room/fact-sheets/detail/cervical-cancer&quot;,&quot;container-title-short&quot;:&quot;&quot;},&quot;isTemporary&quot;:false}]},{&quot;citationID&quot;:&quot;MENDELEY_CITATION_2d131aec-fff5-4882-b1ce-625a895fe8a3&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&quot;,&quot;citationItems&quot;:[{&quot;id&quot;:&quot;f3e45f88-e08e-344f-bd6d-4efb168458c8&quot;,&quot;itemData&quot;:{&quot;type&quot;:&quot;article-journal&quot;,&quot;id&quot;:&quot;f3e45f88-e08e-344f-bd6d-4efb168458c8&quot;,&quot;title&quot;:&quot;Global estimates of incidence and mortality of cervical cancer in 2020: a baseline analysis of the WHO Global Cervical Cancer Elimination Initiative&quot;,&quot;author&quot;:[{&quot;family&quot;:&quot;Singh&quot;,&quot;given&quot;:&quot;Deependra&quot;,&quot;parse-names&quot;:false,&quot;dropping-particle&quot;:&quot;&quot;,&quot;non-dropping-particle&quot;:&quot;&quot;},{&quot;family&quot;:&quot;Vignat&quot;,&quot;given&quot;:&quot;Jerome&quot;,&quot;parse-names&quot;:false,&quot;dropping-particle&quot;:&quot;&quot;,&quot;non-dropping-particle&quot;:&quot;&quot;},{&quot;family&quot;:&quot;Lorenzoni&quot;,&quot;given&quot;:&quot;Valentina&quot;,&quot;parse-names&quot;:false,&quot;dropping-particle&quot;:&quot;&quot;,&quot;non-dropping-particle&quot;:&quot;&quot;},{&quot;family&quot;:&quot;Eslahi&quot;,&quot;given&quot;:&quot;Marzieh&quot;,&quot;parse-names&quot;:false,&quot;dropping-particle&quot;:&quot;&quot;,&quot;non-dropping-particle&quot;:&quot;&quot;},{&quot;family&quot;:&quot;Ginsburg&quot;,&quot;given&quot;:&quot;Ophira&quot;,&quot;parse-names&quot;:false,&quot;dropping-particle&quot;:&quot;&quot;,&quot;non-dropping-particle&quot;:&quot;&quot;},{&quot;family&quot;:&quot;Lauby-Secretan&quot;,&quot;given&quot;:&quot;Beatrice&quot;,&quot;parse-names&quot;:false,&quot;dropping-particle&quot;:&quot;&quot;,&quot;non-dropping-particle&quot;:&quot;&quot;},{&quot;family&quot;:&quot;Arbyn&quot;,&quot;given&quot;:&quot;Marc&quot;,&quot;parse-names&quot;:false,&quot;dropping-particle&quot;:&quot;&quot;,&quot;non-dropping-particle&quot;:&quot;&quot;},{&quot;family&quot;:&quot;Basu&quot;,&quot;given&quot;:&quot;Partha&quot;,&quot;parse-names&quot;:false,&quot;dropping-particle&quot;:&quot;&quot;,&quot;non-dropping-particle&quot;:&quot;&quot;},{&quot;family&quot;:&quot;Bray&quot;,&quot;given&quot;:&quot;Freddie&quot;,&quot;parse-names&quot;:false,&quot;dropping-particle&quot;:&quot;&quot;,&quot;non-dropping-particle&quot;:&quot;&quot;},{&quot;family&quot;:&quot;Vaccarella&quot;,&quot;given&quot;:&quot;Salvatore&quot;,&quot;parse-names&quot;:false,&quot;dropping-particle&quot;:&quot;&quot;,&quot;non-dropping-particle&quot;:&quot;&quot;}],&quot;container-title&quot;:&quot;The Lancet Global Health&quot;,&quot;accessed&quot;:{&quot;date-parts&quot;:[[2023,1,31]]},&quot;DOI&quot;:&quot;10.1016/S2214-109X(22)00501-0&quot;,&quot;ISSN&quot;:&quot;2214109X&quot;,&quot;PMID&quot;:&quot;36528031&quot;,&quot;URL&quot;:&quot;http://www.thelancet.com/article/S2214109X22005010/fulltext&quot;,&quot;issued&quot;:{&quot;date-parts&quot;:[[2023,2,1]]},&quot;page&quot;:&quot;e197-e206&quot;,&quot;abstract&quot;:&quot;Background: Tracking progress and providing timely evidence is a fundamental step forward for countries to remain aligned with the targets set by WHO to eliminate cervical cancer as a public health problem (ie, to reduce the incidence of the disease below a threshold of 4 cases per 100 000 women-years). We aimed to assess the extent of global inequalities in cervical cancer incidence and mortality, based on The Global Cancer Observatory (GLOBOCAN) 2020 estimates, including geographical and socioeconomic development, and temporal aspects. Methods: For this analysis, we used the GLOBOCAN 2020 database to estimate the age-specific and age-standardised incidence and mortality rates of cervical cancer per 100 000 women-years for 185 countries or territories aggregated across the 20 UN-defined world regions, and by four-tier levels of the Human Development Index (HDI). Time trends (1988–2017) in incidence were extracted from the Cancer Incidence in Five Continents (CI5) plus database. Mortality estimates were obtained using the most recent national vital registration data from WHO. Findings: Globally in 2020, there were an estimated 604 127 cervical cancer cases and 341 831 deaths, with a corresponding age-standardised incidence of 13·3 cases per 100 000 women-years (95% CI 13·3–13·3) and mortality rate of 7·2 deaths per 100 000 women-years (95% CI 7·2–7·3). Cervical cancer incidence ranged from 2·2 (1·9–2·4) in Iraq to 84·6 (74·8–94·3) in Eswatini. Mortality rates ranged from 1·0 (0·8–1·2) in Switzerland to 55·7 (47·7–63·7) in Eswatini. Age-standardised incidence was highest in Malawi (67·9 [95% CI 65·7 –70·1]) and Zambia (65·5 [63·0–67·9]) in Africa, Bolivia (36·6 [35·0–38·2]) and Paraguay (34·1 [32·1–36·1]) in Latin America, Maldives (24·5 [17·0–32·0]) and Indonesia (24·4 [24·2–24·7]) in Asia, and Fiji (29·8 [24·7–35·0]) and Papua New Guinea (29·2 [27·3–31·0]) in Melanesia. A clear socioeconomic gradient exists in cervical cancer, with decreasing rates as HDI increased. Incidence was three times higher in countries with low HDI than countries with very high HDI, whereas mortality rates were six times higher in low HDI countries versus very high HDI countries. In 2020 estimates, a general decline in incidence was observed in most countries of the world with representative trend data, with incidence becoming stable at relatively low levels around 2005 in several high-income countries. By contrast, in the same period incidence increased in some countries in eastern Africa and eastern Europe. We observed different patterns of age-specific incidence between countries with well developed population-based screening and treatment services (eg, Sweden, Australia, and the UK) and countries with insufficient and opportunistic services (eg, Colombia, India, and Uganda). Interpretation: The burden of cervical cancer remains high in many parts of the world, and in most countries, the incidence and mortality of the disease remain much higher than the threshold set by the WHO initiative on cervical cancer elimination. We identified substantial geographical and socioeconomic inequalities in cervical cancer globally, with a clear gradient of increasing rates for countries with lower levels of human development. Our study provides timely evidence and impetus for future strategies that prioritise and accelerate progress towards the WHO elimination targets and, in so doing, address the marked variations in the global cervical cancer landscape today. Funding: French Institut National du Cancer, Horizon 2020 Framework Programme for Research and Innovation of the European Commission; and EU4Health Programme.&quot;,&quot;publisher&quot;:&quot;Elsevier Ltd&quot;,&quot;issue&quot;:&quot;2&quot;,&quot;volume&quot;:&quot;11&quot;,&quot;container-title-short&quot;:&quot;Lancet Glob Health&quot;},&quot;uris&quot;:[&quot;http://www.mendeley.com/documents/?uuid=f3e45f88-e08e-344f-bd6d-4efb168458c8&quot;],&quot;isTemporary&quot;:false,&quot;legacyDesktopId&quot;:&quot;f3e45f88-e08e-344f-bd6d-4efb168458c8&quot;}]},{&quot;citationID&quot;:&quot;MENDELEY_CITATION_af448dba-d2c7-4f08-8bcc-6099b4fd2395&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&quot;,&quot;citationItems&quot;:[{&quot;id&quot;:&quot;ece66761-7578-32cc-9417-deecee74765a&quot;,&quot;itemData&quot;:{&quot;type&quot;:&quot;article-journal&quot;,&quot;id&quot;:&quot;ece66761-7578-32cc-9417-deecee74765a&quot;,&quot;title&quot;:&quot;Global, regional, and national burden of 12 mental disorders in 204 countries and territories, 1990–2019: a systematic analysis for the Global Burden of Disease Study 2019&quot;,&quot;author&quot;:[{&quot;family&quot;:&quot;Collaborators&quot;,&quot;given&quot;:&quot;GBD 2019 Mental Disorders&quot;,&quot;parse-names&quot;:false,&quot;dropping-particle&quot;:&quot;&quot;,&quot;non-dropping-particle&quot;:&quot;&quot;}],&quot;container-title&quot;:&quot;The Lancet. Psychiatry&quot;,&quot;container-title-short&quot;:&quot;Lancet Psychiatry&quot;,&quot;accessed&quot;:{&quot;date-parts&quot;:[[2023,2,27]]},&quot;DOI&quot;:&quot;10.1016/S2215-0366(21)00395-3&quot;,&quot;ISSN&quot;:&quot;22150366&quot;,&quot;PMID&quot;:&quot;35026139&quot;,&quot;URL&quot;:&quot;/pmc/articles/PMC8776563/&quot;,&quot;issued&quot;:{&quot;date-parts&quot;:[[2022,2,1]]},&quot;page&quot;:&quot;137&quot;,&quot;abstract&quot;:&quot;Background: The mental disorders included in the Global Burden of Diseases, Injuries, and Risk Factors Study (GBD) 2019 were depressive disorders, anxiety disorders, bipolar disorder, schizophrenia, autism spectrum disorders, conduct disorder, attention-deficit hyperactivity disorder, eating disorders, idiopathic developmental intellectual disability, and a residual category of other mental disorders. We aimed to measure the global, regional, and national prevalence, disability-adjusted life-years (DALYS), years lived with disability (YLDs), and years of life lost (YLLs) for mental disorders from 1990 to 2019. Methods: In this study, we assessed prevalence and burden estimates from GBD 2019 for 12 mental disorders, males and females, 23 age groups, 204 countries and territories, between 1990 and 2019. DALYs were estimated as the sum of YLDs and YLLs to premature mortality. We systematically reviewed PsycINFO, Embase, PubMed, and the Global Health Data Exchange to obtain data on prevalence, incidence, remission, duration, severity, and excess mortality for each mental disorder. These data informed a Bayesian meta-regression analysis to estimate prevalence by disorder, age, sex, year, and location. Prevalence was multiplied by corresponding disability weights to estimate YLDs. Cause-specific deaths were compiled from mortality surveillance databases. The Cause of Death Ensemble modelling strategy was used to estimate death rate by age, sex, year, and location. The death rates were multiplied by the years of life expected to be remaining at death based on a normative life expectancy to estimate YLLs. Deaths and YLLs could be calculated only for anorexia nervosa and bulimia nervosa, since these were the only mental disorders identified as underlying causes of death in GBD 2019. Findings: Between 1990 and 2019, the global number of DALYs due to mental disorders increased from 80·8 million (95% uncertainty interval [UI] 59·5–105·9) to 125·3 million (93·0–163·2), and the proportion of global DALYs attributed to mental disorders increased from 3·1% (95% UI 2·4–3·9) to 4·9% (3·9–6·1). Age-standardised DALY rates remained largely consistent between 1990 (1581·2 DALYs [1170·9–2061·4] per 100 000 people) and 2019 (1566·2 DALYs [1160·1–2042·8] per 100 000 people). YLDs contributed to most of the mental disorder burden, with 125·3 million YLDs (95% UI 93·0–163·2; 14·6% [12·2–16·8] of global YLDs) in 2019 attributable to mental disorders. Eating disorders accounted for 17 361·5 YLLs (95% UI 15 518·5–21 459·8). Globally, the age-standardised DALY rate for mental disorders was 1426·5 (95% UI 1056·4–1869·5) per 100 000 population among males and 1703·3 (1261·5–2237·8) per 100 000 population among females. Age-standardised DALY rates were highest in Australasia, Tropical Latin America, and high-income North America. Interpretation: GBD 2019 showed that mental disorders remained among the top ten leading causes of burden worldwide, with no evidence of global reduction in the burden since 1990. The estimated YLLs for mental disorders were extremely low and do not reflect premature mortality in individuals with mental disorders. Research to establish causal pathways between mental disorders and other fatal health outcomes is recommended so that this may be addressed within the GBD study. To reduce the burden of mental disorders, coordinated delivery of effective prevention and treatment programmes by governments and the global health community is imperative. Funding: Bill &amp; Melinda Gates Foundation, Australian National Health and Medical Research Council, Queensland Department of Health, Australia.&quot;,&quot;publisher&quot;:&quot;Elsevier&quot;,&quot;issue&quot;:&quot;2&quot;,&quot;volume&quot;:&quot;9&quot;},&quot;isTemporary&quot;:false}]}]"/>
    <we:property name="MENDELEY_CITATIONS_LOCALE_CODE" value="&quot;en-GB&quot;"/>
    <we:property name="MENDELEY_CITATIONS_STYLE" value="{&quot;id&quot;:&quot;https://www.zotero.org/styles/the-lancet&quot;,&quot;title&quot;:&quot;The Lancet&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6CD6F-87F3-48B0-9E4A-A8CFD8BA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146</Words>
  <Characters>780</Characters>
  <Application>Microsoft Office Word</Application>
  <DocSecurity>0</DocSecurity>
  <Lines>6</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Herweijer</dc:creator>
  <cp:keywords/>
  <dc:description/>
  <cp:lastModifiedBy>Kejia Hu</cp:lastModifiedBy>
  <cp:revision>29</cp:revision>
  <cp:lastPrinted>2023-08-16T11:21:00Z</cp:lastPrinted>
  <dcterms:created xsi:type="dcterms:W3CDTF">2023-11-09T19:25:00Z</dcterms:created>
  <dcterms:modified xsi:type="dcterms:W3CDTF">2024-03-09T09:43:00Z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id="gVrGeP6K"/&gt;&lt;style id="http://www.zotero.org/styles/vancouver" locale="sv-SE"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http://www.zotero.org/styles/the-lancet</vt:lpwstr>
  </property>
  <property fmtid="{D5CDD505-2E9C-101B-9397-08002B2CF9AE}" pid="17" name="Mendeley Recent Style Name 6_1">
    <vt:lpwstr>The Lancet</vt:lpwstr>
  </property>
  <property fmtid="{D5CDD505-2E9C-101B-9397-08002B2CF9AE}" pid="18" name="Mendeley Recent Style Id 7_1">
    <vt:lpwstr>http://www.zotero.org/styles/the-new-england-journal-of-medicine</vt:lpwstr>
  </property>
  <property fmtid="{D5CDD505-2E9C-101B-9397-08002B2CF9AE}" pid="19" name="Mendeley Recent Style Name 7_1">
    <vt:lpwstr>The New England Journal of Medicine</vt:lpwstr>
  </property>
  <property fmtid="{D5CDD505-2E9C-101B-9397-08002B2CF9AE}" pid="20" name="Mendeley Recent Style Id 8_1">
    <vt:lpwstr>http://csl.mendeley.com/styles/499963591/vancouver-BMED-20200611</vt:lpwstr>
  </property>
  <property fmtid="{D5CDD505-2E9C-101B-9397-08002B2CF9AE}" pid="21" name="Mendeley Recent Style Name 8_1">
    <vt:lpwstr>Vancouver - Kejia Hu</vt:lpwstr>
  </property>
  <property fmtid="{D5CDD505-2E9C-101B-9397-08002B2CF9AE}" pid="22" name="Mendeley Recent Style Id 9_1">
    <vt:lpwstr>http://csl.mendeley.com/styles/499963591/vancouver-NEJM-KH</vt:lpwstr>
  </property>
  <property fmtid="{D5CDD505-2E9C-101B-9397-08002B2CF9AE}" pid="23" name="Mendeley Recent Style Name 9_1">
    <vt:lpwstr>Vancouver - Kejia Hu</vt:lpwstr>
  </property>
  <property fmtid="{D5CDD505-2E9C-101B-9397-08002B2CF9AE}" pid="24" name="Mendeley Document_1">
    <vt:lpwstr>True</vt:lpwstr>
  </property>
  <property fmtid="{D5CDD505-2E9C-101B-9397-08002B2CF9AE}" pid="25" name="Mendeley Unique User Id_1">
    <vt:lpwstr>03ba2212-bf36-3724-9921-9211bbbd6491</vt:lpwstr>
  </property>
  <property fmtid="{D5CDD505-2E9C-101B-9397-08002B2CF9AE}" pid="26" name="Mendeley Citation Style_1">
    <vt:lpwstr>http://www.zotero.org/styles/the-lancet</vt:lpwstr>
  </property>
</Properties>
</file>